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0C" w:rsidRDefault="00066470">
      <w:pPr>
        <w:pStyle w:val="Standard"/>
        <w:jc w:val="center"/>
        <w:rPr>
          <w:sz w:val="32"/>
          <w:u w:val="none"/>
        </w:rPr>
      </w:pPr>
      <w:bookmarkStart w:id="0" w:name="_GoBack"/>
      <w:bookmarkEnd w:id="0"/>
      <w:r>
        <w:rPr>
          <w:sz w:val="32"/>
          <w:u w:val="none"/>
        </w:rPr>
        <w:t>政府採購錯誤行為態樣</w:t>
      </w:r>
      <w:r>
        <w:rPr>
          <w:sz w:val="32"/>
          <w:u w:val="none"/>
        </w:rPr>
        <w:t xml:space="preserve">            </w:t>
      </w:r>
    </w:p>
    <w:tbl>
      <w:tblPr>
        <w:tblW w:w="10090" w:type="dxa"/>
        <w:tblLayout w:type="fixed"/>
        <w:tblCellMar>
          <w:left w:w="10" w:type="dxa"/>
          <w:right w:w="10" w:type="dxa"/>
        </w:tblCellMar>
        <w:tblLook w:val="04A0" w:firstRow="1" w:lastRow="0" w:firstColumn="1" w:lastColumn="0" w:noHBand="0" w:noVBand="1"/>
      </w:tblPr>
      <w:tblGrid>
        <w:gridCol w:w="720"/>
        <w:gridCol w:w="1154"/>
        <w:gridCol w:w="4970"/>
        <w:gridCol w:w="3246"/>
      </w:tblGrid>
      <w:tr w:rsidR="0084660C">
        <w:tblPrEx>
          <w:tblCellMar>
            <w:top w:w="0" w:type="dxa"/>
            <w:bottom w:w="0" w:type="dxa"/>
          </w:tblCellMar>
        </w:tblPrEx>
        <w:trPr>
          <w:trHeight w:val="420"/>
          <w:tblHeader/>
        </w:trPr>
        <w:tc>
          <w:tcPr>
            <w:tcW w:w="1874" w:type="dxa"/>
            <w:gridSpan w:val="2"/>
            <w:tcBorders>
              <w:top w:val="single" w:sz="4" w:space="0" w:color="000000"/>
              <w:left w:val="single" w:sz="4" w:space="0" w:color="000000"/>
              <w:bottom w:val="single" w:sz="4" w:space="0" w:color="000000"/>
            </w:tcBorders>
            <w:shd w:val="clear" w:color="auto" w:fill="C0C0C0"/>
            <w:tcMar>
              <w:top w:w="0" w:type="dxa"/>
              <w:left w:w="28" w:type="dxa"/>
              <w:bottom w:w="0" w:type="dxa"/>
              <w:right w:w="28" w:type="dxa"/>
            </w:tcMar>
            <w:vAlign w:val="center"/>
          </w:tcPr>
          <w:p w:rsidR="0084660C" w:rsidRDefault="00066470">
            <w:pPr>
              <w:pStyle w:val="Standard"/>
              <w:widowControl/>
              <w:jc w:val="center"/>
              <w:rPr>
                <w:rFonts w:cs="新細明體, PMingLiU"/>
                <w:bCs/>
                <w:u w:val="none"/>
              </w:rPr>
            </w:pPr>
            <w:r>
              <w:rPr>
                <w:rFonts w:cs="新細明體, PMingLiU"/>
                <w:bCs/>
                <w:u w:val="none"/>
              </w:rPr>
              <w:t>序號</w:t>
            </w:r>
          </w:p>
        </w:tc>
        <w:tc>
          <w:tcPr>
            <w:tcW w:w="4970" w:type="dxa"/>
            <w:tcBorders>
              <w:top w:val="single" w:sz="4" w:space="0" w:color="000000"/>
              <w:left w:val="single" w:sz="4" w:space="0" w:color="000000"/>
              <w:bottom w:val="single" w:sz="4" w:space="0" w:color="000000"/>
            </w:tcBorders>
            <w:shd w:val="clear" w:color="auto" w:fill="C0C0C0"/>
            <w:tcMar>
              <w:top w:w="0" w:type="dxa"/>
              <w:left w:w="28" w:type="dxa"/>
              <w:bottom w:w="0" w:type="dxa"/>
              <w:right w:w="28" w:type="dxa"/>
            </w:tcMar>
            <w:vAlign w:val="center"/>
          </w:tcPr>
          <w:p w:rsidR="0084660C" w:rsidRDefault="00066470">
            <w:pPr>
              <w:pStyle w:val="Standard"/>
              <w:widowControl/>
              <w:jc w:val="center"/>
              <w:rPr>
                <w:rFonts w:cs="新細明體, PMingLiU"/>
                <w:bCs/>
                <w:u w:val="none"/>
              </w:rPr>
            </w:pPr>
            <w:r>
              <w:rPr>
                <w:rFonts w:cs="新細明體, PMingLiU"/>
                <w:bCs/>
                <w:u w:val="none"/>
              </w:rPr>
              <w:t>錯誤行為態樣</w:t>
            </w:r>
          </w:p>
        </w:tc>
        <w:tc>
          <w:tcPr>
            <w:tcW w:w="324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84660C" w:rsidRDefault="00066470">
            <w:pPr>
              <w:pStyle w:val="Standard"/>
              <w:widowControl/>
              <w:jc w:val="center"/>
              <w:rPr>
                <w:rFonts w:cs="新細明體, PMingLiU"/>
                <w:bCs/>
                <w:u w:val="none"/>
              </w:rPr>
            </w:pPr>
            <w:r>
              <w:rPr>
                <w:rFonts w:cs="新細明體, PMingLiU"/>
                <w:bCs/>
                <w:u w:val="none"/>
              </w:rPr>
              <w:t>依據法令</w:t>
            </w:r>
          </w:p>
        </w:tc>
      </w:tr>
      <w:tr w:rsidR="0084660C">
        <w:tblPrEx>
          <w:tblCellMar>
            <w:top w:w="0" w:type="dxa"/>
            <w:bottom w:w="0" w:type="dxa"/>
          </w:tblCellMar>
        </w:tblPrEx>
        <w:trPr>
          <w:cantSplit/>
          <w:trHeight w:val="1080"/>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jc w:val="center"/>
              <w:rPr>
                <w:rFonts w:cs="新細明體, PMingLiU"/>
                <w:u w:val="none"/>
              </w:rPr>
            </w:pPr>
            <w:r>
              <w:rPr>
                <w:rFonts w:cs="新細明體, PMingLiU"/>
                <w:u w:val="none"/>
              </w:rPr>
              <w:t>一、準備招標文件</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擅改法律文字，例如：更改或增列政府採購法</w:t>
            </w:r>
            <w:r>
              <w:rPr>
                <w:rFonts w:cs="新細明體, PMingLiU"/>
                <w:u w:val="none"/>
              </w:rPr>
              <w:t>(</w:t>
            </w:r>
            <w:r>
              <w:rPr>
                <w:rFonts w:cs="新細明體, PMingLiU"/>
                <w:u w:val="none"/>
              </w:rPr>
              <w:t>以下簡稱採購法</w:t>
            </w:r>
            <w:r>
              <w:rPr>
                <w:rFonts w:cs="新細明體, PMingLiU"/>
                <w:u w:val="none"/>
              </w:rPr>
              <w:t>)</w:t>
            </w:r>
            <w:r>
              <w:rPr>
                <w:rFonts w:cs="新細明體, PMingLiU"/>
                <w:u w:val="none"/>
              </w:rPr>
              <w:t>第三十一條第二項、第一百零一條、第一百零三條之文字。</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採購法第三條。</w:t>
            </w:r>
          </w:p>
        </w:tc>
      </w:tr>
      <w:tr w:rsidR="0084660C">
        <w:tblPrEx>
          <w:tblCellMar>
            <w:top w:w="0" w:type="dxa"/>
            <w:bottom w:w="0" w:type="dxa"/>
          </w:tblCellMar>
        </w:tblPrEx>
        <w:trPr>
          <w:cantSplit/>
          <w:trHeight w:val="1165"/>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漏記法規規定，例如：漏記採購法第六十三條第二項、第七十條第一項、採購法施行細則（以下簡稱施行細則）第三十八條等應於招標文件載明之規定。</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曲解法規規定，例如：曲解採購法第五十八條之執行程序。</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違反法規規定，例如：對於機關之決定不得異議。</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採購法第七十四條、第七十五條。</w:t>
            </w:r>
          </w:p>
        </w:tc>
      </w:tr>
      <w:tr w:rsidR="0084660C">
        <w:tblPrEx>
          <w:tblCellMar>
            <w:top w:w="0" w:type="dxa"/>
            <w:bottom w:w="0" w:type="dxa"/>
          </w:tblCellMar>
        </w:tblPrEx>
        <w:trPr>
          <w:cantSplit/>
          <w:trHeight w:val="10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color w:val="000000"/>
                <w:u w:val="none"/>
              </w:rPr>
              <w:t>不當增列法規所無之規定，例如於招標文件規定廠商之投標文件有下列情形之一者，為不合格標：標封封口未蓋騎縫章；投標文件未逐頁蓋章；</w:t>
            </w:r>
            <w:r>
              <w:rPr>
                <w:rFonts w:cs="新細明體, PMingLiU"/>
                <w:bCs/>
                <w:color w:val="000000"/>
                <w:u w:val="none"/>
              </w:rPr>
              <w:t>投標文件未檢附電子領標憑據</w:t>
            </w:r>
            <w:r>
              <w:rPr>
                <w:rFonts w:cs="新細明體, PMingLiU"/>
                <w:color w:val="000000"/>
                <w:u w:val="none"/>
              </w:rPr>
              <w:t>；</w:t>
            </w:r>
            <w:r>
              <w:rPr>
                <w:rFonts w:cs="新細明體, PMingLiU"/>
                <w:bCs/>
                <w:color w:val="000000"/>
                <w:u w:val="none"/>
              </w:rPr>
              <w:t>投標文件之編排、字體大小、裝訂方式或份數與招標文件規定不符</w:t>
            </w:r>
            <w:r>
              <w:rPr>
                <w:rFonts w:cs="新細明體, PMingLiU"/>
                <w:color w:val="000000"/>
                <w:u w:val="none"/>
              </w:rPr>
              <w:t>；標單未蓋與招標文件所附印模單相符之印章。</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採購法第六條，工程會九十六年五月八日工程企字第</w:t>
            </w:r>
            <w:r>
              <w:rPr>
                <w:rFonts w:cs="新細明體, PMingLiU"/>
                <w:u w:val="none"/>
              </w:rPr>
              <w:t>09600182560</w:t>
            </w:r>
            <w:r>
              <w:rPr>
                <w:rFonts w:cs="新細明體, PMingLiU"/>
                <w:u w:val="none"/>
              </w:rPr>
              <w:t>號令。</w:t>
            </w:r>
          </w:p>
        </w:tc>
      </w:tr>
      <w:tr w:rsidR="0084660C">
        <w:tblPrEx>
          <w:tblCellMar>
            <w:top w:w="0" w:type="dxa"/>
            <w:bottom w:w="0" w:type="dxa"/>
          </w:tblCellMar>
        </w:tblPrEx>
        <w:trPr>
          <w:cantSplit/>
          <w:trHeight w:val="10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依採購法第二十二條第一項第九款、第十款及第五十六條辦理評選</w:t>
            </w:r>
            <w:r>
              <w:rPr>
                <w:rFonts w:cs="新細明體, PMingLiU"/>
                <w:u w:val="none"/>
              </w:rPr>
              <w:t>(</w:t>
            </w:r>
            <w:r>
              <w:rPr>
                <w:rFonts w:cs="新細明體, PMingLiU"/>
                <w:u w:val="none"/>
              </w:rPr>
              <w:t>不論金額大小</w:t>
            </w:r>
            <w:r>
              <w:rPr>
                <w:rFonts w:cs="新細明體, PMingLiU"/>
                <w:u w:val="none"/>
              </w:rPr>
              <w:t>)</w:t>
            </w:r>
            <w:r>
              <w:rPr>
                <w:rFonts w:cs="新細明體, PMingLiU"/>
                <w:u w:val="none"/>
              </w:rPr>
              <w:t>，未於開標前成立評選委員會。評選委員由代理人出席會議。</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採購評選委員會組織準則第三條，採購評選委員會審議規則第六條第一項。</w:t>
            </w:r>
          </w:p>
        </w:tc>
      </w:tr>
      <w:tr w:rsidR="0084660C">
        <w:tblPrEx>
          <w:tblCellMar>
            <w:top w:w="0" w:type="dxa"/>
            <w:bottom w:w="0" w:type="dxa"/>
          </w:tblCellMar>
        </w:tblPrEx>
        <w:trPr>
          <w:cantSplit/>
          <w:trHeight w:val="1469"/>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評選優勝者或評定最有利標之評審項目，除非是固定費率或公布決標價格者外，未將價格納入；或雖將價格納入，但卻單以比較入圍廠商標價之高低為評分基礎，未分析各該廠商標價相對於其他項目評分之合理性。</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最有利標評選辦法。</w:t>
            </w:r>
          </w:p>
        </w:tc>
      </w:tr>
      <w:tr w:rsidR="0084660C">
        <w:tblPrEx>
          <w:tblCellMar>
            <w:top w:w="0" w:type="dxa"/>
            <w:bottom w:w="0" w:type="dxa"/>
          </w:tblCellMar>
        </w:tblPrEx>
        <w:trPr>
          <w:cantSplit/>
          <w:trHeight w:val="10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評選優勝者或評定最有利標之評審項目不當或配分與重要性不平衡，例如：規定廠商簡報，十分鐘之簡報，其配分即占</w:t>
            </w:r>
            <w:r>
              <w:rPr>
                <w:rFonts w:cs="新細明體, PMingLiU"/>
                <w:u w:val="none"/>
              </w:rPr>
              <w:t>20%</w:t>
            </w:r>
            <w:r>
              <w:rPr>
                <w:rFonts w:cs="新細明體, PMingLiU"/>
                <w:u w:val="none"/>
              </w:rPr>
              <w:t>。</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招標文件中之資料錯誤，例如：數量或數據有誤；前後矛盾；引用過時或失效之資料。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行政疏失。</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招標文件中之履約條款違反公平合理原則，例如：履約期限過短；逾期違約金過高。</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招標文件過簡，例如：未載明終止或解除契約條件、查驗或驗收條件；未載明依政府採購法令辦理。</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採購法第二十九條第三項。</w:t>
            </w:r>
          </w:p>
        </w:tc>
      </w:tr>
      <w:tr w:rsidR="0084660C">
        <w:tblPrEx>
          <w:tblCellMar>
            <w:top w:w="0" w:type="dxa"/>
            <w:bottom w:w="0" w:type="dxa"/>
          </w:tblCellMar>
        </w:tblPrEx>
        <w:trPr>
          <w:cantSplit/>
          <w:trHeight w:val="65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未預為防範問題之發生，例如：履約期限為日曆天者未載明特定假日是否計入；未規定廠商投保必要之保險。</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行政疏失。</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意圖規避法規之適用而將案件化整為零招標。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採購法第十四條，中央機關未達公告金額採購招標辦法第六條。</w:t>
            </w:r>
          </w:p>
        </w:tc>
      </w:tr>
      <w:tr w:rsidR="0084660C">
        <w:tblPrEx>
          <w:tblCellMar>
            <w:top w:w="0" w:type="dxa"/>
            <w:bottom w:w="0" w:type="dxa"/>
          </w:tblCellMar>
        </w:tblPrEx>
        <w:trPr>
          <w:cantSplit/>
          <w:trHeight w:val="10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認定採購金額之方式錯誤，例如：分批辦理採購，未依各批合計總金額認定其採購金額；未將含有選購或後續擴充項目金額計入。</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施行細則第六條。</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noProof/>
                <w:sz w:val="20"/>
                <w:u w:val="none"/>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254523</wp:posOffset>
                      </wp:positionV>
                      <wp:extent cx="360675" cy="1600200"/>
                      <wp:effectExtent l="0" t="0" r="0" b="0"/>
                      <wp:wrapNone/>
                      <wp:docPr id="1" name="框架1"/>
                      <wp:cNvGraphicFramePr/>
                      <a:graphic xmlns:a="http://schemas.openxmlformats.org/drawingml/2006/main">
                        <a:graphicData uri="http://schemas.microsoft.com/office/word/2010/wordprocessingShape">
                          <wps:wsp>
                            <wps:cNvSpPr txBox="1"/>
                            <wps:spPr>
                              <a:xfrm>
                                <a:off x="0" y="0"/>
                                <a:ext cx="360675" cy="1600200"/>
                              </a:xfrm>
                              <a:prstGeom prst="rect">
                                <a:avLst/>
                              </a:prstGeom>
                              <a:noFill/>
                              <a:ln>
                                <a:noFill/>
                                <a:prstDash/>
                              </a:ln>
                            </wps:spPr>
                            <wps:txbx>
                              <w:txbxContent>
                                <w:p w:rsidR="0084660C" w:rsidRDefault="00066470">
                                  <w:pPr>
                                    <w:pStyle w:val="Standard"/>
                                    <w:rPr>
                                      <w:rFonts w:cs="新細明體, PMingLiU"/>
                                      <w:u w:val="none"/>
                                    </w:rPr>
                                  </w:pPr>
                                  <w:r>
                                    <w:rPr>
                                      <w:rFonts w:cs="新細明體, PMingLiU"/>
                                      <w:u w:val="none"/>
                                    </w:rPr>
                                    <w:t>一、準備招標文件</w:t>
                                  </w:r>
                                </w:p>
                              </w:txbxContent>
                            </wps:txbx>
                            <wps:bodyPr vert="horz" wrap="none" lIns="92162" tIns="46442" rIns="92162" bIns="46442"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36pt;margin-top:20.05pt;width:28.4pt;height:126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" filled="f" stroked="f">
                      <v:textbox inset="2.56006mm,1.2901mm,2.56006mm,1.2901mm">
                        <w:txbxContent>
                          <w:p w:rsidR="0084660C" w:rsidRDefault="00066470">
                            <w:pPr>
                              <w:pStyle w:val="Standard"/>
                              <w:rPr>
                                <w:rFonts w:cs="新細明體, PMingLiU"/>
                                <w:u w:val="none"/>
                              </w:rPr>
                            </w:pPr>
                            <w:r>
                              <w:rPr>
                                <w:rFonts w:cs="新細明體, PMingLiU"/>
                                <w:u w:val="none"/>
                              </w:rPr>
                              <w:t>一、準備招標文件</w:t>
                            </w:r>
                          </w:p>
                        </w:txbxContent>
                      </v:textbox>
                    </v:shape>
                  </w:pict>
                </mc:Fallback>
              </mc:AlternateContent>
            </w:r>
            <w:r>
              <w:rPr>
                <w:rFonts w:cs="新細明體, PMingLiU"/>
                <w:sz w:val="20"/>
                <w:u w:val="none"/>
              </w:rPr>
              <w:t>（十五）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不當限制競爭，例如：限廠商代表於開標當時必須攜帶與投標文件所用相同之印鑑，否則無權出席。</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採購法第六條、第二十五條、第二十六條、第二十八條、第三十七條等。</w:t>
            </w:r>
          </w:p>
        </w:tc>
      </w:tr>
      <w:tr w:rsidR="0084660C">
        <w:tblPrEx>
          <w:tblCellMar>
            <w:top w:w="0" w:type="dxa"/>
            <w:bottom w:w="0" w:type="dxa"/>
          </w:tblCellMar>
        </w:tblPrEx>
        <w:trPr>
          <w:cantSplit/>
          <w:trHeight w:val="715"/>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製造不必要之陷阱，例如：可在標價欄位印上「整」字卻不印，而規定廠商未寫「整」字即為無效標。</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未使用工程會之範本，致錯漏頻生。</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採購法第六十三條第一項，</w:t>
            </w:r>
            <w:r>
              <w:rPr>
                <w:rFonts w:cs="新細明體, PMingLiU"/>
                <w:color w:val="000000"/>
                <w:u w:val="none"/>
              </w:rPr>
              <w:t>採購契約要項第一點</w:t>
            </w:r>
            <w:r>
              <w:rPr>
                <w:rFonts w:cs="新細明體, PMingLiU"/>
                <w:u w:val="none"/>
              </w:rPr>
              <w:t>。</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以單價決標者，未載明預估數量或採購金額上限；標的二項以上未採分項決標者，未以分項單價乘以預估數量後之總和決定最低標。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施行細則第六條第一項第五款，第六十四條之一。</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辦理巨額採購，招標前未簽准預期使用情形、效益目標及效益分析指標、預計採購期程、開始使用日期及使用年限。</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採購法第一百十一條，機關提報巨額採購使用情形及效益分析作業規定第二點。</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ind w:firstLine="102"/>
            </w:pPr>
            <w:r>
              <w:rPr>
                <w:rFonts w:cs="標楷體"/>
                <w:sz w:val="20"/>
                <w:u w:val="none"/>
              </w:rPr>
              <w:t>(</w:t>
            </w:r>
            <w:r>
              <w:rPr>
                <w:rFonts w:cs="新細明體, PMingLiU"/>
                <w:sz w:val="20"/>
                <w:u w:val="none"/>
              </w:rPr>
              <w:t>二十</w:t>
            </w:r>
            <w:r>
              <w:rPr>
                <w:rFonts w:cs="新細明體, PMingLiU"/>
                <w:sz w:val="20"/>
                <w:u w:val="none"/>
              </w:rPr>
              <w:t>)</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機關辦理巨額工程採購，未成立採購工作及審查小組，協助審查採購需求與經費、採購策略及招標文件等事項。</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採購法第十一條之一。</w:t>
            </w:r>
          </w:p>
        </w:tc>
      </w:tr>
      <w:tr w:rsidR="0084660C">
        <w:tblPrEx>
          <w:tblCellMar>
            <w:top w:w="0" w:type="dxa"/>
            <w:bottom w:w="0" w:type="dxa"/>
          </w:tblCellMar>
        </w:tblPrEx>
        <w:trPr>
          <w:cantSplit/>
          <w:trHeight w:val="1080"/>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ind w:left="113" w:right="113"/>
              <w:jc w:val="center"/>
              <w:rPr>
                <w:rFonts w:cs="新細明體, PMingLiU"/>
                <w:u w:val="none"/>
              </w:rPr>
            </w:pPr>
            <w:r>
              <w:rPr>
                <w:rFonts w:cs="新細明體, PMingLiU"/>
                <w:u w:val="none"/>
              </w:rPr>
              <w:t>二、資格限制競爭</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訂定之廠商資格為「投標廠商資格與特殊或巨額採購認定標準」（以下簡稱資格標準）所無或違反或較該標準更嚴格之規定。</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採購法第三十六條、第三十七條，資格標準。</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非特殊或巨額採購卻規定特定資格。</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採購法第三十六條第二項，資格標準第五條。</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訂定特定資格未依該標準評估廠商家數及檢討有無限制競爭。</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資格標準第十三條。</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過當之資格，例如：乙等營造業承攬限額內之工程卻限甲等營造業方可投標。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採購法第三十七條第一項，資格標準第三條第三項。</w:t>
            </w:r>
          </w:p>
        </w:tc>
      </w:tr>
      <w:tr w:rsidR="0084660C">
        <w:tblPrEx>
          <w:tblCellMar>
            <w:top w:w="0" w:type="dxa"/>
            <w:bottom w:w="0" w:type="dxa"/>
          </w:tblCellMar>
        </w:tblPrEx>
        <w:trPr>
          <w:cantSplit/>
          <w:trHeight w:val="68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限非屬法規規定之團體之會員方可投標，例如：某協會之會員。</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採購法第三十七條第一項，資格標準第三條至第五條。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限公部門</w:t>
            </w:r>
            <w:r>
              <w:rPr>
                <w:rFonts w:cs="新細明體, PMingLiU"/>
                <w:u w:val="none"/>
              </w:rPr>
              <w:t>(</w:t>
            </w:r>
            <w:r>
              <w:rPr>
                <w:rFonts w:cs="新細明體, PMingLiU"/>
                <w:u w:val="none"/>
              </w:rPr>
              <w:t>政府機關、公營事業、公立學校</w:t>
            </w:r>
            <w:r>
              <w:rPr>
                <w:rFonts w:cs="新細明體, PMingLiU"/>
                <w:u w:val="none"/>
              </w:rPr>
              <w:t>)</w:t>
            </w:r>
            <w:r>
              <w:rPr>
                <w:rFonts w:cs="新細明體, PMingLiU"/>
                <w:u w:val="none"/>
              </w:rPr>
              <w:t>之實績</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資格標準第十四條。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限國內之實績。</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469"/>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限特定地區公會之會員。</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採購法第三十七條第一項，資格標準第三條第一項第三款、第六項。</w:t>
            </w:r>
          </w:p>
        </w:tc>
      </w:tr>
      <w:tr w:rsidR="0084660C">
        <w:tblPrEx>
          <w:tblCellMar>
            <w:top w:w="0" w:type="dxa"/>
            <w:bottom w:w="0" w:type="dxa"/>
          </w:tblCellMar>
        </w:tblPrEx>
        <w:trPr>
          <w:cantSplit/>
          <w:trHeight w:val="459"/>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不當限制特定公會之會員方可投標。</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繳納營業稅證明限當期者。</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資格標準第三條第五項。</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信用證明限公告日後所取得者。</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資格標準第四條第一項第五款。</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資本額限公告日前者。</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資格標準第五條第一項第三款。</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非屬特殊或巨額採購，限取得</w:t>
            </w:r>
            <w:r>
              <w:rPr>
                <w:rFonts w:cs="新細明體, PMingLiU"/>
                <w:u w:val="none"/>
              </w:rPr>
              <w:t>ISO9000</w:t>
            </w:r>
            <w:r>
              <w:rPr>
                <w:rFonts w:cs="新細明體, PMingLiU"/>
                <w:u w:val="none"/>
              </w:rPr>
              <w:t>系列驗證者。</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資格標準第五條第一項第五款。</w:t>
            </w:r>
          </w:p>
        </w:tc>
      </w:tr>
      <w:tr w:rsidR="0084660C">
        <w:tblPrEx>
          <w:tblCellMar>
            <w:top w:w="0" w:type="dxa"/>
            <w:bottom w:w="0" w:type="dxa"/>
          </w:tblCellMar>
        </w:tblPrEx>
        <w:trPr>
          <w:cantSplit/>
          <w:trHeight w:val="709"/>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投標當時即必須於指定地區設有分公司或維護站。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資格標準第四條第一項第四款。</w:t>
            </w:r>
          </w:p>
        </w:tc>
      </w:tr>
      <w:tr w:rsidR="0084660C">
        <w:tblPrEx>
          <w:tblCellMar>
            <w:top w:w="0" w:type="dxa"/>
            <w:bottom w:w="0" w:type="dxa"/>
          </w:tblCellMar>
        </w:tblPrEx>
        <w:trPr>
          <w:cantSplit/>
          <w:trHeight w:val="329"/>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限定投標廠商之所在地。</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資格標準第十五條。</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投標當時即必須擁有指定之設備。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資格標準第五條第一項第四款。</w:t>
            </w:r>
          </w:p>
        </w:tc>
      </w:tr>
      <w:tr w:rsidR="0084660C">
        <w:tblPrEx>
          <w:tblCellMar>
            <w:top w:w="0" w:type="dxa"/>
            <w:bottom w:w="0" w:type="dxa"/>
          </w:tblCellMar>
        </w:tblPrEx>
        <w:trPr>
          <w:cantSplit/>
          <w:trHeight w:val="49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不考慮資格文件之性質而規定廠商檢附正本。</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資格標準第十條第一項。</w:t>
            </w:r>
          </w:p>
        </w:tc>
      </w:tr>
      <w:tr w:rsidR="0084660C">
        <w:tblPrEx>
          <w:tblCellMar>
            <w:top w:w="0" w:type="dxa"/>
            <w:bottom w:w="0" w:type="dxa"/>
          </w:tblCellMar>
        </w:tblPrEx>
        <w:trPr>
          <w:cantSplit/>
          <w:trHeight w:val="474"/>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noProof/>
                <w:sz w:val="20"/>
                <w:u w:val="none"/>
              </w:rPr>
              <mc:AlternateContent>
                <mc:Choice Requires="wps">
                  <w:drawing>
                    <wp:anchor distT="0" distB="0" distL="114300" distR="114300" simplePos="0" relativeHeight="3" behindDoc="0" locked="0" layoutInCell="1" allowOverlap="1">
                      <wp:simplePos x="0" y="0"/>
                      <wp:positionH relativeFrom="column">
                        <wp:posOffset>-421556</wp:posOffset>
                      </wp:positionH>
                      <wp:positionV relativeFrom="paragraph">
                        <wp:posOffset>230035</wp:posOffset>
                      </wp:positionV>
                      <wp:extent cx="386077" cy="1717042"/>
                      <wp:effectExtent l="0" t="0" r="0" b="0"/>
                      <wp:wrapNone/>
                      <wp:docPr id="2" name="框架2"/>
                      <wp:cNvGraphicFramePr/>
                      <a:graphic xmlns:a="http://schemas.openxmlformats.org/drawingml/2006/main">
                        <a:graphicData uri="http://schemas.microsoft.com/office/word/2010/wordprocessingShape">
                          <wps:wsp>
                            <wps:cNvSpPr txBox="1"/>
                            <wps:spPr>
                              <a:xfrm>
                                <a:off x="0" y="0"/>
                                <a:ext cx="386077" cy="1717042"/>
                              </a:xfrm>
                              <a:prstGeom prst="rect">
                                <a:avLst/>
                              </a:prstGeom>
                              <a:noFill/>
                              <a:ln>
                                <a:noFill/>
                                <a:prstDash/>
                              </a:ln>
                            </wps:spPr>
                            <wps:txbx>
                              <w:txbxContent>
                                <w:p w:rsidR="0084660C" w:rsidRDefault="00066470">
                                  <w:pPr>
                                    <w:pStyle w:val="Standard"/>
                                    <w:rPr>
                                      <w:rFonts w:cs="標楷體"/>
                                      <w:u w:val="none"/>
                                    </w:rPr>
                                  </w:pPr>
                                  <w:r>
                                    <w:rPr>
                                      <w:rFonts w:cs="標楷體"/>
                                      <w:u w:val="none"/>
                                    </w:rPr>
                                    <w:t>二、資格限制競爭</w:t>
                                  </w:r>
                                </w:p>
                              </w:txbxContent>
                            </wps:txbx>
                            <wps:bodyPr vert="horz" wrap="none" lIns="92162" tIns="46442" rIns="92162" bIns="46442" anchor="t" anchorCtr="0" compatLnSpc="0">
                              <a:noAutofit/>
                            </wps:bodyPr>
                          </wps:wsp>
                        </a:graphicData>
                      </a:graphic>
                    </wp:anchor>
                  </w:drawing>
                </mc:Choice>
                <mc:Fallback>
                  <w:pict>
                    <v:shape id="框架2" o:spid="_x0000_s1027" type="#_x0000_t202" style="position:absolute;margin-left:-33.2pt;margin-top:18.1pt;width:30.4pt;height:135.2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" filled="f" stroked="f">
                      <v:textbox inset="2.56006mm,1.2901mm,2.56006mm,1.2901mm">
                        <w:txbxContent>
                          <w:p w:rsidR="0084660C" w:rsidRDefault="00066470">
                            <w:pPr>
                              <w:pStyle w:val="Standard"/>
                              <w:rPr>
                                <w:rFonts w:cs="標楷體"/>
                                <w:u w:val="none"/>
                              </w:rPr>
                            </w:pPr>
                            <w:r>
                              <w:rPr>
                                <w:rFonts w:cs="標楷體"/>
                                <w:u w:val="none"/>
                              </w:rPr>
                              <w:t>二、資格限制競爭</w:t>
                            </w:r>
                          </w:p>
                        </w:txbxContent>
                      </v:textbox>
                    </v:shape>
                  </w:pict>
                </mc:Fallback>
              </mc:AlternateContent>
            </w:r>
            <w:r>
              <w:rPr>
                <w:rFonts w:cs="新細明體, PMingLiU"/>
                <w:sz w:val="20"/>
                <w:u w:val="none"/>
              </w:rPr>
              <w:t>（十八）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限開標當時必須攜帶資格文件正本。</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以已停止使用之投標比價證明書為廠商資格文件。</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非屬資格標準第二條至第五條規定範圍。</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（二十）</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投標時須檢附原廠製造證明、原廠代理證明、原廠願意供應證明、原廠品質保證書。</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非屬資格標準第二條至第五條規定範圍，採購法第三十七條。</w:t>
            </w:r>
          </w:p>
        </w:tc>
      </w:tr>
      <w:tr w:rsidR="0084660C">
        <w:tblPrEx>
          <w:tblCellMar>
            <w:top w:w="0" w:type="dxa"/>
            <w:bottom w:w="0" w:type="dxa"/>
          </w:tblCellMar>
        </w:tblPrEx>
        <w:trPr>
          <w:cantSplit/>
          <w:trHeight w:val="1454"/>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（二十一）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以小綁大，例如：規定重要項目之分包廠商必須具備某一特定之資格條件，而具備該資格條件之分包廠商甚少；規定投標廠商投標時須取得特定材料供應商之授權同意書。</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採購法第六條、第三十七條。</w:t>
            </w:r>
          </w:p>
        </w:tc>
      </w:tr>
      <w:tr w:rsidR="0084660C">
        <w:tblPrEx>
          <w:tblCellMar>
            <w:top w:w="0" w:type="dxa"/>
            <w:bottom w:w="0" w:type="dxa"/>
          </w:tblCellMar>
        </w:tblPrEx>
        <w:trPr>
          <w:cantSplit/>
          <w:trHeight w:val="46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（二十二）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規定之資格與履約能力無關。</w:t>
            </w:r>
          </w:p>
          <w:p w:rsidR="0084660C" w:rsidRDefault="0084660C">
            <w:pPr>
              <w:pStyle w:val="Standard"/>
              <w:widowControl/>
              <w:rPr>
                <w:rFonts w:cs="新細明體, PMingLiU"/>
                <w:u w:val="non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採購法第三十七條。</w:t>
            </w:r>
          </w:p>
        </w:tc>
      </w:tr>
      <w:tr w:rsidR="0084660C">
        <w:tblPrEx>
          <w:tblCellMar>
            <w:top w:w="0" w:type="dxa"/>
            <w:bottom w:w="0" w:type="dxa"/>
          </w:tblCellMar>
        </w:tblPrEx>
        <w:trPr>
          <w:cantSplit/>
          <w:trHeight w:val="1241"/>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（二十三）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限定國內廠商投標時須檢附與國外廠商技術合作之證明。</w:t>
            </w:r>
            <w:r>
              <w:rPr>
                <w:rFonts w:cs="新細明體, PMingLiU"/>
                <w:u w:val="none"/>
              </w:rPr>
              <w:t>(</w:t>
            </w:r>
            <w:r>
              <w:rPr>
                <w:rFonts w:cs="新細明體, PMingLiU"/>
                <w:u w:val="none"/>
              </w:rPr>
              <w:t>註</w:t>
            </w:r>
            <w:r>
              <w:rPr>
                <w:rFonts w:cs="新細明體, PMingLiU"/>
                <w:u w:val="none"/>
              </w:rPr>
              <w:t>:</w:t>
            </w:r>
            <w:r>
              <w:rPr>
                <w:rFonts w:cs="新細明體, PMingLiU"/>
                <w:u w:val="none"/>
              </w:rPr>
              <w:t>招標文件如未作強制規定，而係由投標廠商自行決定之合作，非屬此一情形）</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採購法第三十七條第一項，資格標準第三條至第五條。</w:t>
            </w:r>
          </w:p>
        </w:tc>
      </w:tr>
      <w:tr w:rsidR="0084660C">
        <w:tblPrEx>
          <w:tblCellMar>
            <w:top w:w="0" w:type="dxa"/>
            <w:bottom w:w="0" w:type="dxa"/>
          </w:tblCellMar>
        </w:tblPrEx>
        <w:trPr>
          <w:cantSplit/>
          <w:trHeight w:val="420"/>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jc w:val="center"/>
              <w:rPr>
                <w:rFonts w:cs="新細明體, PMingLiU"/>
                <w:u w:val="none"/>
              </w:rPr>
            </w:pPr>
            <w:r>
              <w:rPr>
                <w:rFonts w:cs="新細明體, PMingLiU"/>
                <w:u w:val="none"/>
              </w:rPr>
              <w:t>三、規格限制競爭</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抄襲特定廠商之規格資料。</w:t>
            </w:r>
          </w:p>
          <w:p w:rsidR="0084660C" w:rsidRDefault="0084660C">
            <w:pPr>
              <w:pStyle w:val="Standard"/>
              <w:widowControl/>
              <w:rPr>
                <w:rFonts w:cs="新細明體, PMingLiU"/>
                <w:u w:val="none"/>
              </w:rPr>
            </w:pP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採購法第二十六條。</w:t>
            </w:r>
          </w:p>
        </w:tc>
      </w:tr>
      <w:tr w:rsidR="0084660C">
        <w:tblPrEx>
          <w:tblCellMar>
            <w:top w:w="0" w:type="dxa"/>
            <w:bottom w:w="0" w:type="dxa"/>
          </w:tblCellMar>
        </w:tblPrEx>
        <w:trPr>
          <w:cantSplit/>
          <w:trHeight w:val="62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超出需求或與需求無關之規格。</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925"/>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公告金額以上之採購指定特定廠牌之規格或型號或特定國家或協會之標準而未允許同等品。</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採購法第二十六條，施行細則第二十五條。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型錄須蓋代理廠商之章。</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採購法第六條、第二十六條。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型錄須為正本。</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限型錄上之規格必須與招標規格一字不差。</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不論產品大小都要有型錄，或未具體載明需要提出型錄之項目。</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10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非屬必要卻限不同組件須由相同廠牌所組成。</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採購法第二十六條，工程會九十年十一月九日工程企字第</w:t>
            </w:r>
            <w:r>
              <w:rPr>
                <w:rFonts w:cs="新細明體, PMingLiU"/>
                <w:u w:val="none"/>
              </w:rPr>
              <w:t>90043793</w:t>
            </w:r>
            <w:r>
              <w:rPr>
                <w:rFonts w:cs="新細明體, PMingLiU"/>
                <w:u w:val="none"/>
              </w:rPr>
              <w:t>號令。</w:t>
            </w:r>
          </w:p>
        </w:tc>
      </w:tr>
      <w:tr w:rsidR="0084660C">
        <w:tblPrEx>
          <w:tblCellMar>
            <w:top w:w="0" w:type="dxa"/>
            <w:bottom w:w="0" w:type="dxa"/>
          </w:tblCellMar>
        </w:tblPrEx>
        <w:trPr>
          <w:cantSplit/>
          <w:trHeight w:val="180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noProof/>
                <w:sz w:val="20"/>
                <w:u w:val="none"/>
              </w:rPr>
              <mc:AlternateContent>
                <mc:Choice Requires="wps">
                  <w:drawing>
                    <wp:anchor distT="0" distB="0" distL="114300" distR="114300" simplePos="0" relativeHeight="2" behindDoc="0" locked="0" layoutInCell="1" allowOverlap="1">
                      <wp:simplePos x="0" y="0"/>
                      <wp:positionH relativeFrom="column">
                        <wp:posOffset>-431276</wp:posOffset>
                      </wp:positionH>
                      <wp:positionV relativeFrom="paragraph">
                        <wp:posOffset>1115641</wp:posOffset>
                      </wp:positionV>
                      <wp:extent cx="347984" cy="2211704"/>
                      <wp:effectExtent l="0" t="0" r="0" b="0"/>
                      <wp:wrapNone/>
                      <wp:docPr id="3" name="框架3"/>
                      <wp:cNvGraphicFramePr/>
                      <a:graphic xmlns:a="http://schemas.openxmlformats.org/drawingml/2006/main">
                        <a:graphicData uri="http://schemas.microsoft.com/office/word/2010/wordprocessingShape">
                          <wps:wsp>
                            <wps:cNvSpPr txBox="1"/>
                            <wps:spPr>
                              <a:xfrm>
                                <a:off x="0" y="0"/>
                                <a:ext cx="347984" cy="2211704"/>
                              </a:xfrm>
                              <a:prstGeom prst="rect">
                                <a:avLst/>
                              </a:prstGeom>
                              <a:noFill/>
                              <a:ln>
                                <a:noFill/>
                                <a:prstDash/>
                              </a:ln>
                            </wps:spPr>
                            <wps:txbx>
                              <w:txbxContent>
                                <w:p w:rsidR="0084660C" w:rsidRDefault="00066470">
                                  <w:pPr>
                                    <w:pStyle w:val="Standard"/>
                                    <w:jc w:val="center"/>
                                    <w:rPr>
                                      <w:rFonts w:cs="新細明體, PMingLiU"/>
                                      <w:u w:val="none"/>
                                    </w:rPr>
                                  </w:pPr>
                                  <w:r>
                                    <w:rPr>
                                      <w:rFonts w:cs="新細明體, PMingLiU"/>
                                      <w:u w:val="none"/>
                                    </w:rPr>
                                    <w:t>三、規格限制競爭</w:t>
                                  </w:r>
                                </w:p>
                              </w:txbxContent>
                            </wps:txbx>
                            <wps:bodyPr vert="horz" wrap="none" lIns="92162" tIns="46442" rIns="92162" bIns="46442" anchor="t" anchorCtr="0" compatLnSpc="0">
                              <a:noAutofit/>
                            </wps:bodyPr>
                          </wps:wsp>
                        </a:graphicData>
                      </a:graphic>
                    </wp:anchor>
                  </w:drawing>
                </mc:Choice>
                <mc:Fallback>
                  <w:pict>
                    <v:shape id="框架3" o:spid="_x0000_s1028" type="#_x0000_t202" style="position:absolute;margin-left:-33.95pt;margin-top:87.85pt;width:27.4pt;height:174.1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" filled="f" stroked="f">
                      <v:textbox inset="2.56006mm,1.2901mm,2.56006mm,1.2901mm">
                        <w:txbxContent>
                          <w:p w:rsidR="0084660C" w:rsidRDefault="00066470">
                            <w:pPr>
                              <w:pStyle w:val="Standard"/>
                              <w:jc w:val="center"/>
                              <w:rPr>
                                <w:rFonts w:cs="新細明體, PMingLiU"/>
                                <w:u w:val="none"/>
                              </w:rPr>
                            </w:pPr>
                            <w:r>
                              <w:rPr>
                                <w:rFonts w:cs="新細明體, PMingLiU"/>
                                <w:u w:val="none"/>
                              </w:rPr>
                              <w:t>三、規格限制競爭</w:t>
                            </w:r>
                          </w:p>
                        </w:txbxContent>
                      </v:textbox>
                    </v:shape>
                  </w:pict>
                </mc:Fallback>
              </mc:AlternateContent>
            </w:r>
            <w:r>
              <w:rPr>
                <w:rFonts w:cs="新細明體, PMingLiU"/>
                <w:sz w:val="20"/>
                <w:u w:val="none"/>
              </w:rPr>
              <w:t>（九）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限取得正字標記而未允許同等品競標，或以</w:t>
            </w:r>
            <w:r>
              <w:rPr>
                <w:rFonts w:cs="新細明體, PMingLiU"/>
                <w:u w:val="none"/>
              </w:rPr>
              <w:t>ISO9000</w:t>
            </w:r>
            <w:r>
              <w:rPr>
                <w:rFonts w:cs="新細明體, PMingLiU"/>
                <w:u w:val="none"/>
              </w:rPr>
              <w:t>系列驗證證書作為產品規範。</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採購法第二十六條，工程會八十八年九月十四日工程企字第</w:t>
            </w:r>
            <w:r>
              <w:rPr>
                <w:rFonts w:cs="新細明體, PMingLiU"/>
                <w:u w:val="none"/>
              </w:rPr>
              <w:t>8814260</w:t>
            </w:r>
            <w:r>
              <w:rPr>
                <w:rFonts w:cs="新細明體, PMingLiU"/>
                <w:u w:val="none"/>
              </w:rPr>
              <w:t>號函釋、八十八年十月二十七日工程企字第</w:t>
            </w:r>
            <w:r>
              <w:rPr>
                <w:rFonts w:cs="新細明體, PMingLiU"/>
                <w:u w:val="none"/>
              </w:rPr>
              <w:t>8816968</w:t>
            </w:r>
            <w:r>
              <w:rPr>
                <w:rFonts w:cs="新細明體, PMingLiU"/>
                <w:u w:val="none"/>
              </w:rPr>
              <w:t>號函釋。</w:t>
            </w:r>
          </w:p>
        </w:tc>
      </w:tr>
      <w:tr w:rsidR="0084660C">
        <w:tblPrEx>
          <w:tblCellMar>
            <w:top w:w="0" w:type="dxa"/>
            <w:bottom w:w="0" w:type="dxa"/>
          </w:tblCellMar>
        </w:tblPrEx>
        <w:trPr>
          <w:cantSplit/>
          <w:trHeight w:val="1499"/>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所標示參考之廠牌不具普遍性或競爭性，例如：同一代理商代理；雖由不同代理商代理而該等代理商間因屬家族或關係企業而不具競爭性；已不製造；參考之廠牌空有其名而無法聯絡，致生同等品爭議</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採購法第二十六條，施行細則第二十五條。</w:t>
            </w:r>
          </w:p>
        </w:tc>
      </w:tr>
      <w:tr w:rsidR="0084660C">
        <w:tblPrEx>
          <w:tblCellMar>
            <w:top w:w="0" w:type="dxa"/>
            <w:bottom w:w="0" w:type="dxa"/>
          </w:tblCellMar>
        </w:tblPrEx>
        <w:trPr>
          <w:cantSplit/>
          <w:trHeight w:val="492"/>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公告金額以上之採購指定進口品。</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採購法第六條、第二十六條。</w:t>
            </w:r>
          </w:p>
        </w:tc>
      </w:tr>
      <w:tr w:rsidR="0084660C">
        <w:tblPrEx>
          <w:tblCellMar>
            <w:top w:w="0" w:type="dxa"/>
            <w:bottom w:w="0" w:type="dxa"/>
          </w:tblCellMar>
        </w:tblPrEx>
        <w:trPr>
          <w:cantSplit/>
          <w:trHeight w:val="492"/>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公告金額以上之採購，無條約協定關係卻指定特定國家之進口品。</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1091"/>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引用已停止使用之內政部七十一台內營字第七七六七九號函及七十四台內營字第三五七四三八號函「有關建材同等品之定義及使用時機案」之規定。</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採購法第三條。</w:t>
            </w:r>
          </w:p>
        </w:tc>
      </w:tr>
      <w:tr w:rsidR="0084660C">
        <w:tblPrEx>
          <w:tblCellMar>
            <w:top w:w="0" w:type="dxa"/>
            <w:bottom w:w="0" w:type="dxa"/>
          </w:tblCellMar>
        </w:tblPrEx>
        <w:trPr>
          <w:cantSplit/>
          <w:trHeight w:val="750"/>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ind w:left="113" w:right="113"/>
              <w:jc w:val="center"/>
              <w:rPr>
                <w:rFonts w:cs="新細明體, PMingLiU"/>
                <w:u w:val="none"/>
              </w:rPr>
            </w:pPr>
            <w:r>
              <w:rPr>
                <w:rFonts w:cs="新細明體, PMingLiU"/>
                <w:u w:val="none"/>
              </w:rPr>
              <w:t>四、押標金保證金</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違反採購法第三十條第二項規定限制押標金保證金之繳納方式。</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採購法第三十條第二項。</w:t>
            </w:r>
          </w:p>
        </w:tc>
      </w:tr>
      <w:tr w:rsidR="0084660C">
        <w:tblPrEx>
          <w:tblCellMar>
            <w:top w:w="0" w:type="dxa"/>
            <w:bottom w:w="0" w:type="dxa"/>
          </w:tblCellMar>
        </w:tblPrEx>
        <w:trPr>
          <w:cantSplit/>
          <w:trHeight w:val="1024"/>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押標金金額逾規定上限。</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押標金保證金暨其他擔保作業辦法（以下簡稱押保辦法）第九條。</w:t>
            </w:r>
          </w:p>
        </w:tc>
      </w:tr>
      <w:tr w:rsidR="0084660C">
        <w:tblPrEx>
          <w:tblCellMar>
            <w:top w:w="0" w:type="dxa"/>
            <w:bottom w:w="0" w:type="dxa"/>
          </w:tblCellMar>
        </w:tblPrEx>
        <w:trPr>
          <w:cantSplit/>
          <w:trHeight w:val="435"/>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拒絕接受未載明受款人之銀行支票。</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押保辦法第七條第一項</w:t>
            </w:r>
            <w:r>
              <w:rPr>
                <w:u w:val="none"/>
              </w:rPr>
              <w:t xml:space="preserve"> </w:t>
            </w:r>
            <w:r>
              <w:rPr>
                <w:rFonts w:cs="新細明體, PMingLiU"/>
                <w:u w:val="none"/>
              </w:rPr>
              <w:t>。</w:t>
            </w:r>
          </w:p>
        </w:tc>
      </w:tr>
      <w:tr w:rsidR="0084660C">
        <w:tblPrEx>
          <w:tblCellMar>
            <w:top w:w="0" w:type="dxa"/>
            <w:bottom w:w="0" w:type="dxa"/>
          </w:tblCellMar>
        </w:tblPrEx>
        <w:trPr>
          <w:cantSplit/>
          <w:trHeight w:val="75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未規定廠商以現金繳納押標金者，應於截止投標期限前繳納至機關指定之收受處所或帳戶。</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押保辦法第六條第一項。</w:t>
            </w:r>
          </w:p>
        </w:tc>
      </w:tr>
      <w:tr w:rsidR="0084660C">
        <w:tblPrEx>
          <w:tblCellMar>
            <w:top w:w="0" w:type="dxa"/>
            <w:bottom w:w="0" w:type="dxa"/>
          </w:tblCellMar>
        </w:tblPrEx>
        <w:trPr>
          <w:cantSplit/>
          <w:trHeight w:val="393"/>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截止投標期限後允許廠商補繳納押標金。</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393"/>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未依採購法第三十一條第二項規定不發還及追繳押標金。</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660C" w:rsidRDefault="00066470">
            <w:pPr>
              <w:pStyle w:val="Standard"/>
              <w:widowControl/>
            </w:pPr>
            <w:r>
              <w:rPr>
                <w:rFonts w:cs="新細明體, PMingLiU"/>
                <w:u w:val="none"/>
              </w:rPr>
              <w:t>採購法第三十一條第二項，工程會一百零八年九月十六日工程企字第</w:t>
            </w:r>
            <w:r>
              <w:rPr>
                <w:rFonts w:cs="新細明體, PMingLiU"/>
                <w:u w:val="none"/>
              </w:rPr>
              <w:t>1080100733</w:t>
            </w:r>
            <w:r>
              <w:rPr>
                <w:rFonts w:cs="新細明體, PMingLiU"/>
                <w:u w:val="none"/>
              </w:rPr>
              <w:t>號令。</w:t>
            </w:r>
          </w:p>
        </w:tc>
      </w:tr>
      <w:tr w:rsidR="0084660C">
        <w:tblPrEx>
          <w:tblCellMar>
            <w:top w:w="0" w:type="dxa"/>
            <w:bottom w:w="0" w:type="dxa"/>
          </w:tblCellMar>
        </w:tblPrEx>
        <w:trPr>
          <w:cantSplit/>
          <w:trHeight w:val="1140"/>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ind w:left="113" w:right="113"/>
              <w:jc w:val="center"/>
              <w:rPr>
                <w:rFonts w:cs="新細明體, PMingLiU"/>
                <w:u w:val="none"/>
              </w:rPr>
            </w:pPr>
            <w:r>
              <w:rPr>
                <w:rFonts w:cs="新細明體, PMingLiU"/>
                <w:u w:val="none"/>
              </w:rPr>
              <w:t>五、決定招標方式</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公告金額以上之工程採購，涉及營造或土木包工業者，採選擇性招標建立一合格廠商名單用於所有不同性質之工程案。</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採購法第六條，工程會八十九年一月十九日工程企字第</w:t>
            </w:r>
            <w:r>
              <w:rPr>
                <w:rFonts w:cs="新細明體, PMingLiU"/>
                <w:u w:val="none"/>
              </w:rPr>
              <w:t>88022422</w:t>
            </w:r>
            <w:r>
              <w:rPr>
                <w:rFonts w:cs="新細明體, PMingLiU"/>
                <w:u w:val="none"/>
              </w:rPr>
              <w:t>號函釋例及一百零三年十月二十日工程企字第</w:t>
            </w:r>
            <w:r>
              <w:rPr>
                <w:rFonts w:cs="新細明體, PMingLiU"/>
                <w:u w:val="none"/>
              </w:rPr>
              <w:t>10300366250</w:t>
            </w:r>
            <w:r>
              <w:rPr>
                <w:rFonts w:cs="新細明體, PMingLiU"/>
                <w:u w:val="none"/>
              </w:rPr>
              <w:t>號函釋例。</w:t>
            </w:r>
          </w:p>
        </w:tc>
      </w:tr>
      <w:tr w:rsidR="0084660C">
        <w:tblPrEx>
          <w:tblCellMar>
            <w:top w:w="0" w:type="dxa"/>
            <w:bottom w:w="0" w:type="dxa"/>
          </w:tblCellMar>
        </w:tblPrEx>
        <w:trPr>
          <w:cantSplit/>
          <w:trHeight w:val="844"/>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自創法規所無之招標方式，例如：以公開招標方式評選優勝廠商議價；以公開評選方式評選廠商後辦理比價。</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採購法第十八條至第二十三條。</w:t>
            </w:r>
          </w:p>
        </w:tc>
      </w:tr>
      <w:tr w:rsidR="0084660C">
        <w:tblPrEx>
          <w:tblCellMar>
            <w:top w:w="0" w:type="dxa"/>
            <w:bottom w:w="0" w:type="dxa"/>
          </w:tblCellMar>
        </w:tblPrEx>
        <w:trPr>
          <w:cantSplit/>
          <w:trHeight w:val="962"/>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p w:rsidR="0084660C" w:rsidRDefault="0084660C">
            <w:pPr>
              <w:pStyle w:val="Standard"/>
              <w:widowControl/>
              <w:rPr>
                <w:rFonts w:cs="新細明體, PMingLiU"/>
                <w:dstrike/>
                <w:sz w:val="20"/>
                <w:u w:val="none"/>
              </w:rPr>
            </w:pP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誤用招標方式，例如：採公開招標卻就資格標單獨招標。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採購法第十八條至第二十三條，施行細則第四十四條第一項。</w:t>
            </w:r>
          </w:p>
        </w:tc>
      </w:tr>
      <w:tr w:rsidR="0084660C">
        <w:tblPrEx>
          <w:tblCellMar>
            <w:top w:w="0" w:type="dxa"/>
            <w:bottom w:w="0" w:type="dxa"/>
          </w:tblCellMar>
        </w:tblPrEx>
        <w:trPr>
          <w:cantSplit/>
          <w:trHeight w:val="50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圖特定廠商利益而以議價或比價方式辦理。</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採購法第二十二條、第二十三條。</w:t>
            </w:r>
          </w:p>
        </w:tc>
      </w:tr>
      <w:tr w:rsidR="0084660C">
        <w:tblPrEx>
          <w:tblCellMar>
            <w:top w:w="0" w:type="dxa"/>
            <w:bottom w:w="0" w:type="dxa"/>
          </w:tblCellMar>
        </w:tblPrEx>
        <w:trPr>
          <w:cantSplit/>
          <w:trHeight w:val="89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未達公告金額而逾公告金額十分之一之採購，通案以議價或比價方式辦理，未公開取得報價單。</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採購法第四十九條，中央機關未達公告金額採購招標辦法第二條第一項。</w:t>
            </w:r>
          </w:p>
        </w:tc>
      </w:tr>
      <w:tr w:rsidR="0084660C">
        <w:tblPrEx>
          <w:tblCellMar>
            <w:top w:w="0" w:type="dxa"/>
            <w:bottom w:w="0" w:type="dxa"/>
          </w:tblCellMar>
        </w:tblPrEx>
        <w:trPr>
          <w:cantSplit/>
          <w:trHeight w:val="34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決標原則不適宜，例如：宜採最有利標者卻採最低標；宜採複數決標者卻未採行。</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w:t>
            </w:r>
          </w:p>
        </w:tc>
      </w:tr>
      <w:tr w:rsidR="0084660C">
        <w:tblPrEx>
          <w:tblCellMar>
            <w:top w:w="0" w:type="dxa"/>
            <w:bottom w:w="0" w:type="dxa"/>
          </w:tblCellMar>
        </w:tblPrEx>
        <w:trPr>
          <w:cantSplit/>
          <w:trHeight w:val="34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濫用採購法第一百零五條除外規定。</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採購法第一百零五條，特別採購招標決標處理辦法。</w:t>
            </w:r>
          </w:p>
        </w:tc>
      </w:tr>
      <w:tr w:rsidR="0084660C">
        <w:tblPrEx>
          <w:tblCellMar>
            <w:top w:w="0" w:type="dxa"/>
            <w:bottom w:w="0" w:type="dxa"/>
          </w:tblCellMar>
        </w:tblPrEx>
        <w:trPr>
          <w:cantSplit/>
          <w:trHeight w:val="727"/>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ind w:left="113" w:right="113"/>
              <w:jc w:val="center"/>
              <w:rPr>
                <w:rFonts w:cs="新細明體, PMingLiU"/>
                <w:u w:val="none"/>
              </w:rPr>
            </w:pPr>
            <w:r>
              <w:rPr>
                <w:rFonts w:cs="新細明體, PMingLiU"/>
                <w:u w:val="none"/>
              </w:rPr>
              <w:t>六、刊登招標公告</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漏刊公告，例如：依採購法第二十二條第一項第九款至第十一款辦理限制性招標，未刊登政府採購公報。</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標楷體"/>
                <w:u w:val="none"/>
              </w:rPr>
              <w:t>採購法第</w:t>
            </w:r>
            <w:r>
              <w:rPr>
                <w:rFonts w:cs="新細明體, PMingLiU"/>
                <w:u w:val="none"/>
              </w:rPr>
              <w:t>二十七</w:t>
            </w:r>
            <w:r>
              <w:rPr>
                <w:rFonts w:cs="標楷體"/>
                <w:u w:val="none"/>
              </w:rPr>
              <w:t>條，政府採購公告及公報發行辦法</w:t>
            </w:r>
            <w:r>
              <w:rPr>
                <w:u w:val="none"/>
              </w:rPr>
              <w:t>(</w:t>
            </w:r>
            <w:r>
              <w:rPr>
                <w:rFonts w:cs="標楷體"/>
                <w:u w:val="none"/>
              </w:rPr>
              <w:t>以下簡稱公報發行辦法</w:t>
            </w:r>
            <w:r>
              <w:rPr>
                <w:u w:val="none"/>
              </w:rPr>
              <w:t>)</w:t>
            </w:r>
            <w:r>
              <w:rPr>
                <w:rFonts w:cs="標楷體"/>
                <w:u w:val="none"/>
              </w:rPr>
              <w:t>第</w:t>
            </w:r>
            <w:r>
              <w:rPr>
                <w:rFonts w:cs="新細明體, PMingLiU"/>
                <w:u w:val="none"/>
              </w:rPr>
              <w:t>四</w:t>
            </w:r>
            <w:r>
              <w:rPr>
                <w:rFonts w:cs="標楷體"/>
                <w:u w:val="none"/>
              </w:rPr>
              <w:t>條。</w:t>
            </w:r>
          </w:p>
        </w:tc>
      </w:tr>
      <w:tr w:rsidR="0084660C">
        <w:tblPrEx>
          <w:tblCellMar>
            <w:top w:w="0" w:type="dxa"/>
            <w:bottom w:w="0" w:type="dxa"/>
          </w:tblCellMar>
        </w:tblPrEx>
        <w:trPr>
          <w:cantSplit/>
          <w:trHeight w:val="529"/>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誤刊公告，例如：招標公告誤刊公開徵求廠商提供參考資料公告；公開招標公告誤刊「公開取得報價單或企劃書」公告；公告金額以上之案件誤登未達公告金額且未刊登政府採購公報；未達公告金額之採購，以「公開取得」三家廠商之書面報價或企劃書方式辦理者，於辦理公告上網作業時，誤上「公開招標」之網頁。</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採購法第二十七條，公報發行辦法。</w:t>
            </w:r>
          </w:p>
        </w:tc>
      </w:tr>
      <w:tr w:rsidR="0084660C">
        <w:tblPrEx>
          <w:tblCellMar>
            <w:top w:w="0" w:type="dxa"/>
            <w:bottom w:w="0" w:type="dxa"/>
          </w:tblCellMar>
        </w:tblPrEx>
        <w:trPr>
          <w:cantSplit/>
          <w:trHeight w:val="657"/>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採購案之屬性歸類錯誤</w:t>
            </w:r>
            <w:r>
              <w:rPr>
                <w:rFonts w:cs="新細明體, PMingLiU"/>
                <w:u w:val="none"/>
              </w:rPr>
              <w:t>(</w:t>
            </w:r>
            <w:r>
              <w:rPr>
                <w:rFonts w:cs="新細明體, PMingLiU"/>
                <w:u w:val="none"/>
              </w:rPr>
              <w:t>故意或過失</w:t>
            </w:r>
            <w:r>
              <w:rPr>
                <w:rFonts w:cs="新細明體, PMingLiU"/>
                <w:u w:val="none"/>
              </w:rPr>
              <w:t>)</w:t>
            </w:r>
            <w:r>
              <w:rPr>
                <w:rFonts w:cs="新細明體, PMingLiU"/>
                <w:u w:val="none"/>
              </w:rPr>
              <w:t>，例如：工程保險誤登為工程案，藉以適用較高之查核或巨額採購金額，或使廠商遺漏參與機會。</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採購法第七條。</w:t>
            </w:r>
          </w:p>
        </w:tc>
      </w:tr>
      <w:tr w:rsidR="0084660C">
        <w:tblPrEx>
          <w:tblCellMar>
            <w:top w:w="0" w:type="dxa"/>
            <w:bottom w:w="0" w:type="dxa"/>
          </w:tblCellMar>
        </w:tblPrEx>
        <w:trPr>
          <w:cantSplit/>
          <w:trHeight w:val="8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公告內容未完全符合政府採購公告及公報發行辦法之規定，例如：漏填、錯填、未詳實填寫</w:t>
            </w:r>
            <w:r>
              <w:rPr>
                <w:rFonts w:cs="新細明體, PMingLiU"/>
                <w:u w:val="none"/>
              </w:rPr>
              <w:t>(</w:t>
            </w:r>
            <w:r>
              <w:rPr>
                <w:rFonts w:cs="新細明體, PMingLiU"/>
                <w:u w:val="none"/>
              </w:rPr>
              <w:t>以「詳招標文件」一語帶過</w:t>
            </w:r>
            <w:r>
              <w:rPr>
                <w:rFonts w:cs="新細明體, PMingLiU"/>
                <w:u w:val="none"/>
              </w:rPr>
              <w:t>)</w:t>
            </w:r>
            <w:r>
              <w:rPr>
                <w:rFonts w:cs="新細明體, PMingLiU"/>
                <w:u w:val="none"/>
              </w:rPr>
              <w:t>。</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採購法第二十七條，公報發行辦法。</w:t>
            </w:r>
          </w:p>
        </w:tc>
      </w:tr>
      <w:tr w:rsidR="0084660C">
        <w:tblPrEx>
          <w:tblCellMar>
            <w:top w:w="0" w:type="dxa"/>
            <w:bottom w:w="0" w:type="dxa"/>
          </w:tblCellMar>
        </w:tblPrEx>
        <w:trPr>
          <w:cantSplit/>
          <w:trHeight w:val="31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等標期違反規定，例如：未考慮案件之複雜度逕依等標期法定下限訂定等標期。</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採購法第二十八條，招標期限標準。</w:t>
            </w:r>
          </w:p>
        </w:tc>
      </w:tr>
      <w:tr w:rsidR="0084660C">
        <w:tblPrEx>
          <w:tblCellMar>
            <w:top w:w="0" w:type="dxa"/>
            <w:bottom w:w="0" w:type="dxa"/>
          </w:tblCellMar>
        </w:tblPrEx>
        <w:trPr>
          <w:cantSplit/>
          <w:trHeight w:val="46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招標文件有保留增購權利卻未於招標公告載明。</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採購法第二十二條第一項第七款。</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流標或廢標後大幅修改招標文件重行招標，卻仍依本法第四十八條第二項規定以第二次招標處理。</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施行細則第五十六條。</w:t>
            </w:r>
          </w:p>
        </w:tc>
      </w:tr>
      <w:tr w:rsidR="0084660C">
        <w:tblPrEx>
          <w:tblCellMar>
            <w:top w:w="0" w:type="dxa"/>
            <w:bottom w:w="0" w:type="dxa"/>
          </w:tblCellMar>
        </w:tblPrEx>
        <w:trPr>
          <w:cantSplit/>
          <w:trHeight w:val="42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公告內容與招標文件之內容不一致，例如：截止投標期限不一致。</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行政疏失。</w:t>
            </w:r>
          </w:p>
        </w:tc>
      </w:tr>
      <w:tr w:rsidR="0084660C">
        <w:tblPrEx>
          <w:tblCellMar>
            <w:top w:w="0" w:type="dxa"/>
            <w:bottom w:w="0" w:type="dxa"/>
          </w:tblCellMar>
        </w:tblPrEx>
        <w:trPr>
          <w:cantSplit/>
          <w:trHeight w:val="55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上網傳輸公告未確定傳輸成功致實際傳輸失敗未刊登公告。</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採購法第二十七條，公報發行辦法。</w:t>
            </w:r>
          </w:p>
        </w:tc>
      </w:tr>
      <w:tr w:rsidR="0084660C">
        <w:tblPrEx>
          <w:tblCellMar>
            <w:top w:w="0" w:type="dxa"/>
            <w:bottom w:w="0" w:type="dxa"/>
          </w:tblCellMar>
        </w:tblPrEx>
        <w:trPr>
          <w:cantSplit/>
          <w:trHeight w:val="1440"/>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ind w:left="113" w:right="113"/>
              <w:jc w:val="center"/>
              <w:rPr>
                <w:rFonts w:cs="新細明體, PMingLiU"/>
                <w:u w:val="none"/>
              </w:rPr>
            </w:pPr>
            <w:r>
              <w:rPr>
                <w:rFonts w:cs="新細明體, PMingLiU"/>
                <w:u w:val="none"/>
              </w:rPr>
              <w:t>七、領標投標程序</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招標文件未能自公告當日至截止投標期限期間供廠商親自及郵遞領取，例如：延後開始領標時間；縮短領標時間；限親自領取；限郵遞領取；對親自及郵遞領取訂定不同之截止期限。</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採購法第二十九條第一項。</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僅標示供領標投標之郵政信箱。</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758"/>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限使用機關之標封否則投標無效。</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採購法第六條、第三十三條第一項，施行細則第二十九條。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招標文件索價過高。</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施行細則第二十八條之一。</w:t>
            </w:r>
          </w:p>
        </w:tc>
      </w:tr>
      <w:tr w:rsidR="0084660C">
        <w:tblPrEx>
          <w:tblCellMar>
            <w:top w:w="0" w:type="dxa"/>
            <w:bottom w:w="0" w:type="dxa"/>
          </w:tblCellMar>
        </w:tblPrEx>
        <w:trPr>
          <w:cantSplit/>
          <w:trHeight w:val="1007"/>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允許廠商於開標前領回投標文件或開啟標封更改其內容。</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施行細則第三十二條。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詢問領標廠商名稱或索取名片。</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採購法第二十九條第一項。</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以招標文件售罄為由妨礙廠商領標。</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10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招標公告上之廠商資格內容過簡，致廠商誤付費領標，而機關拒退費，例如：僅填寫「詳招標文件」。</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jc w:val="both"/>
            </w:pPr>
            <w:r>
              <w:rPr>
                <w:rFonts w:cs="新細明體, PMingLiU"/>
                <w:u w:val="none"/>
              </w:rPr>
              <w:t>採購法第六條，工程會八十九年六月十八日工程企字第</w:t>
            </w:r>
            <w:r>
              <w:rPr>
                <w:rFonts w:cs="新細明體, PMingLiU"/>
                <w:u w:val="none"/>
              </w:rPr>
              <w:t>89014544</w:t>
            </w:r>
            <w:r>
              <w:rPr>
                <w:rFonts w:cs="新細明體, PMingLiU"/>
                <w:u w:val="none"/>
              </w:rPr>
              <w:t>號函釋例。</w:t>
            </w:r>
          </w:p>
        </w:tc>
      </w:tr>
      <w:tr w:rsidR="0084660C">
        <w:tblPrEx>
          <w:tblCellMar>
            <w:top w:w="0" w:type="dxa"/>
            <w:bottom w:w="0" w:type="dxa"/>
          </w:tblCellMar>
        </w:tblPrEx>
        <w:trPr>
          <w:cantSplit/>
          <w:trHeight w:val="340"/>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jc w:val="center"/>
              <w:rPr>
                <w:rFonts w:cs="新細明體, PMingLiU"/>
                <w:u w:val="none"/>
              </w:rPr>
            </w:pPr>
            <w:r>
              <w:rPr>
                <w:rFonts w:cs="新細明體, PMingLiU"/>
                <w:u w:val="none"/>
              </w:rPr>
              <w:t>八、開標程序</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誤解開標之意義為開價格標。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採購法第四十五條，施行細則第四十八條第一項。</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開標前之應辦程序未辦妥，例如：漏通知上級機關監辦；底價尚未訂定；無人主持。</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採購法第三條。</w:t>
            </w:r>
          </w:p>
        </w:tc>
      </w:tr>
      <w:tr w:rsidR="0084660C">
        <w:tblPrEx>
          <w:tblCellMar>
            <w:top w:w="0" w:type="dxa"/>
            <w:bottom w:w="0" w:type="dxa"/>
          </w:tblCellMar>
        </w:tblPrEx>
        <w:trPr>
          <w:cantSplit/>
          <w:trHeight w:val="515"/>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開標前當場宣布補充規定或變更招標文件內容。</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採購法第二十七條、第四十一條。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開標後更改底價。</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採購法第四十六條第二項。</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開標時間未到即先開啟廠商標封審標。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採購法第四十五條，施行細則第四十八條第一項。</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截止投標時間與開標時間相隔天數過長。</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施行細則第四十九條之一。</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開標紀錄記載不全。</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施行細則第五十一條。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廠商未依通知出席開標即視為無效標。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採購法第五十條，第六十條。</w:t>
            </w:r>
          </w:p>
        </w:tc>
      </w:tr>
      <w:tr w:rsidR="0084660C">
        <w:tblPrEx>
          <w:tblCellMar>
            <w:top w:w="0" w:type="dxa"/>
            <w:bottom w:w="0" w:type="dxa"/>
          </w:tblCellMar>
        </w:tblPrEx>
        <w:trPr>
          <w:cantSplit/>
          <w:trHeight w:val="601"/>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採分段開標，卻先辦理價格標後再審查資格或規格標。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施行細則第四十四條。</w:t>
            </w:r>
          </w:p>
        </w:tc>
      </w:tr>
      <w:tr w:rsidR="0084660C">
        <w:tblPrEx>
          <w:tblCellMar>
            <w:top w:w="0" w:type="dxa"/>
            <w:bottom w:w="0" w:type="dxa"/>
          </w:tblCellMar>
        </w:tblPrEx>
        <w:trPr>
          <w:cantSplit/>
          <w:trHeight w:val="344"/>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訂定底價時機不符合規定，例如：議價前未參考該議價廠商之報價或估價即訂定底價。</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採購法第四十六條，施行細則第五十四條。</w:t>
            </w:r>
          </w:p>
        </w:tc>
      </w:tr>
      <w:tr w:rsidR="0084660C">
        <w:tblPrEx>
          <w:tblCellMar>
            <w:top w:w="0" w:type="dxa"/>
            <w:bottom w:w="0" w:type="dxa"/>
          </w:tblCellMar>
        </w:tblPrEx>
        <w:trPr>
          <w:cantSplit/>
          <w:trHeight w:val="874"/>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對於監辦人員提出之正確意見不予理會。</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施行細則第十一條第三項，機關主會計及有關單位會同監辦採購辦法第七條第二項。</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監辦人員逾越監辦職權提出不妥適之意見。</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未依採購法第五十七條第一款規定秘密開標審標。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採購法第五十七條第一款。</w:t>
            </w:r>
          </w:p>
        </w:tc>
      </w:tr>
      <w:tr w:rsidR="0084660C">
        <w:tblPrEx>
          <w:tblCellMar>
            <w:top w:w="0" w:type="dxa"/>
            <w:bottom w:w="0" w:type="dxa"/>
          </w:tblCellMar>
        </w:tblPrEx>
        <w:trPr>
          <w:cantSplit/>
          <w:trHeight w:val="793"/>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ind w:left="113" w:right="113"/>
              <w:jc w:val="center"/>
              <w:rPr>
                <w:rFonts w:cs="新細明體, PMingLiU"/>
                <w:u w:val="none"/>
              </w:rPr>
            </w:pPr>
            <w:r>
              <w:rPr>
                <w:rFonts w:cs="新細明體, PMingLiU"/>
                <w:u w:val="none"/>
              </w:rPr>
              <w:t>九、審標程序</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未依招標文件之規定逐項確實審查，先以嚴格之規定排除競爭者，再故意放水或護航讓不合規定者通過審查。</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採購法第六條、第五十條、第五十一條。</w:t>
            </w:r>
          </w:p>
        </w:tc>
      </w:tr>
      <w:tr w:rsidR="0084660C">
        <w:tblPrEx>
          <w:tblCellMar>
            <w:top w:w="0" w:type="dxa"/>
            <w:bottom w:w="0" w:type="dxa"/>
          </w:tblCellMar>
        </w:tblPrEx>
        <w:trPr>
          <w:cantSplit/>
          <w:trHeight w:val="101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對於圍標事證缺乏警覺性。</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採購法第三十一條第二項、第四十八條第一項、第五十條第一項、第八十七條、第一百零一條。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不必公開審標卻公開審標，致洩漏個別廠商資料。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採購法第三十四條第四項。</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誤以為開標當日必須審標完畢。</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誤解。</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誤以為審標結果必須有三家廠商合格方得決標。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採購法第四十八條第一項，施行細則第五十五條。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pPr>
            <w:r>
              <w:rPr>
                <w:rFonts w:cs="新細明體, PMingLiU"/>
                <w:u w:val="none"/>
              </w:rPr>
              <w:t>對於虛偽不實之廠商簽名或文件缺乏警覺性。</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採購法第三十一條第二項、第五十條第一項、第一百零一條。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資格文件之中文譯文雖符合招標文件規定，但未注意原文不符合招標文件規定。</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施行細則第三十七條。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投標文件審查結果，未通知投標廠商。</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採購法第五十一條第二項，施行細則第六十一條。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私下洽投標廠商協助審查其他廠商之投標文件。</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採購法第三十四條、第五十一條。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允許投標廠商查看其他廠商之投標文件。</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採購法第三十四條第四項。</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決標程序錯亂，例如：決標後，方審查投標時提出之樣本規格或投標文件所載廠牌設備、材</w:t>
            </w:r>
            <w:r>
              <w:rPr>
                <w:noProof/>
              </w:rPr>
              <mc:AlternateContent>
                <mc:Choice Requires="wps">
                  <w:drawing>
                    <wp:anchor distT="0" distB="0" distL="114300" distR="114300" simplePos="0" relativeHeight="4" behindDoc="0" locked="0" layoutInCell="1" allowOverlap="1">
                      <wp:simplePos x="0" y="0"/>
                      <wp:positionH relativeFrom="column">
                        <wp:posOffset>-1132200</wp:posOffset>
                      </wp:positionH>
                      <wp:positionV relativeFrom="paragraph">
                        <wp:posOffset>102961</wp:posOffset>
                      </wp:positionV>
                      <wp:extent cx="374647" cy="1227453"/>
                      <wp:effectExtent l="0" t="0" r="0" b="0"/>
                      <wp:wrapNone/>
                      <wp:docPr id="4" name="框架4"/>
                      <wp:cNvGraphicFramePr/>
                      <a:graphic xmlns:a="http://schemas.openxmlformats.org/drawingml/2006/main">
                        <a:graphicData uri="http://schemas.microsoft.com/office/word/2010/wordprocessingShape">
                          <wps:wsp>
                            <wps:cNvSpPr txBox="1"/>
                            <wps:spPr>
                              <a:xfrm>
                                <a:off x="0" y="0"/>
                                <a:ext cx="374647" cy="1227453"/>
                              </a:xfrm>
                              <a:prstGeom prst="rect">
                                <a:avLst/>
                              </a:prstGeom>
                              <a:noFill/>
                              <a:ln>
                                <a:noFill/>
                                <a:prstDash/>
                              </a:ln>
                            </wps:spPr>
                            <wps:txbx>
                              <w:txbxContent>
                                <w:p w:rsidR="0084660C" w:rsidRDefault="00066470">
                                  <w:pPr>
                                    <w:pStyle w:val="Standard"/>
                                    <w:rPr>
                                      <w:rFonts w:cs="標楷體"/>
                                      <w:u w:val="none"/>
                                    </w:rPr>
                                  </w:pPr>
                                  <w:r>
                                    <w:rPr>
                                      <w:rFonts w:cs="標楷體"/>
                                      <w:u w:val="none"/>
                                    </w:rPr>
                                    <w:t>九、審標程序</w:t>
                                  </w:r>
                                </w:p>
                              </w:txbxContent>
                            </wps:txbx>
                            <wps:bodyPr vert="horz" wrap="none" lIns="92162" tIns="46442" rIns="92162" bIns="46442" anchor="t" anchorCtr="0" compatLnSpc="0">
                              <a:noAutofit/>
                            </wps:bodyPr>
                          </wps:wsp>
                        </a:graphicData>
                      </a:graphic>
                    </wp:anchor>
                  </w:drawing>
                </mc:Choice>
                <mc:Fallback>
                  <w:pict>
                    <v:shape id="框架4" o:spid="_x0000_s1029" type="#_x0000_t202" style="position:absolute;margin-left:-89.15pt;margin-top:8.1pt;width:29.5pt;height:96.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" filled="f" stroked="f">
                      <v:textbox inset="2.56006mm,1.2901mm,2.56006mm,1.2901mm">
                        <w:txbxContent>
                          <w:p w:rsidR="0084660C" w:rsidRDefault="00066470">
                            <w:pPr>
                              <w:pStyle w:val="Standard"/>
                              <w:rPr>
                                <w:rFonts w:cs="標楷體"/>
                                <w:u w:val="none"/>
                              </w:rPr>
                            </w:pPr>
                            <w:r>
                              <w:rPr>
                                <w:rFonts w:cs="標楷體"/>
                                <w:u w:val="none"/>
                              </w:rPr>
                              <w:t>九、審標程序</w:t>
                            </w:r>
                          </w:p>
                        </w:txbxContent>
                      </v:textbox>
                    </v:shape>
                  </w:pict>
                </mc:Fallback>
              </mc:AlternateContent>
            </w:r>
            <w:r>
              <w:rPr>
                <w:rFonts w:cs="新細明體, PMingLiU"/>
                <w:u w:val="none"/>
              </w:rPr>
              <w:t>料之規格。</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採購法第五十二條，施行細則第四十四條。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評選委員會未依採購法第九十四條規定組成或開會。</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採購法第九十四條，採購評選委員會審議規則，採購評選委員會組織準則。</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評選委員未親自辦理評選或未依規定迴避。</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採購評選委員會審議規則第六條第一項、第十四條。</w:t>
            </w:r>
          </w:p>
        </w:tc>
      </w:tr>
      <w:tr w:rsidR="0084660C">
        <w:tblPrEx>
          <w:tblCellMar>
            <w:top w:w="0" w:type="dxa"/>
            <w:bottom w:w="0" w:type="dxa"/>
          </w:tblCellMar>
        </w:tblPrEx>
        <w:trPr>
          <w:cantSplit/>
          <w:trHeight w:val="2528"/>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ind w:left="113" w:right="113"/>
              <w:jc w:val="center"/>
              <w:rPr>
                <w:rFonts w:cs="新細明體, PMingLiU"/>
                <w:u w:val="none"/>
              </w:rPr>
            </w:pPr>
            <w:r>
              <w:rPr>
                <w:rFonts w:cs="新細明體, PMingLiU"/>
                <w:u w:val="none"/>
              </w:rPr>
              <w:t>十、決標程序</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ind w:right="151"/>
              <w:jc w:val="both"/>
              <w:rPr>
                <w:rFonts w:cs="新細明體, PMingLiU"/>
                <w:u w:val="none"/>
              </w:rPr>
            </w:pPr>
            <w:r>
              <w:rPr>
                <w:rFonts w:cs="新細明體, PMingLiU"/>
                <w:u w:val="none"/>
              </w:rPr>
              <w:t>未依採購法第六十一條及第六十二條刊登或傳輸決標資訊，或傳輸之資料錯誤或不完整，例如：以單價決標時未傳輸預估總價；未登載廠商是否為中小企業；採限制性招標於決標後未依採購法第六十一條及第六十二條刊登或傳輸決標資訊；未登載採限制性招標所依據之法條；得標廠商為外國廠商卻登載係我國之中小企業；未公告底價或未敘明不公開底價之理由；未依規定公告決標金額；未登載決標原則。</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採購法第六十一條、第六十二條，施行細則第八十四條，公報發行辦法第十三條至第十五條。</w:t>
            </w:r>
          </w:p>
        </w:tc>
      </w:tr>
      <w:tr w:rsidR="0084660C">
        <w:tblPrEx>
          <w:tblCellMar>
            <w:top w:w="0" w:type="dxa"/>
            <w:bottom w:w="0" w:type="dxa"/>
          </w:tblCellMar>
        </w:tblPrEx>
        <w:trPr>
          <w:cantSplit/>
          <w:trHeight w:val="36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未保留至少一份未得標廠商已開標之文件。</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施行細則第五十七條。</w:t>
            </w:r>
          </w:p>
        </w:tc>
      </w:tr>
      <w:tr w:rsidR="0084660C">
        <w:tblPrEx>
          <w:tblCellMar>
            <w:top w:w="0" w:type="dxa"/>
            <w:bottom w:w="0" w:type="dxa"/>
          </w:tblCellMar>
        </w:tblPrEx>
        <w:trPr>
          <w:cantSplit/>
          <w:trHeight w:val="36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未保留至少一份得標廠商遞送之資格文件影本。</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36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除應保留之投標文件外，拒絕發還其他投標資料。</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不同數量之二項以上標的，以單價和決標。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施行細則第六十四條之一。</w:t>
            </w:r>
          </w:p>
        </w:tc>
      </w:tr>
      <w:tr w:rsidR="0084660C">
        <w:tblPrEx>
          <w:tblCellMar>
            <w:top w:w="0" w:type="dxa"/>
            <w:bottom w:w="0" w:type="dxa"/>
          </w:tblCellMar>
        </w:tblPrEx>
        <w:trPr>
          <w:cantSplit/>
          <w:trHeight w:val="355"/>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不考慮廠商單價是否合理而強以機關預算單價調整廠商單價。</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採購法第六條、第五十八條。</w:t>
            </w:r>
          </w:p>
        </w:tc>
      </w:tr>
      <w:tr w:rsidR="0084660C">
        <w:tblPrEx>
          <w:tblCellMar>
            <w:top w:w="0" w:type="dxa"/>
            <w:bottom w:w="0" w:type="dxa"/>
          </w:tblCellMar>
        </w:tblPrEx>
        <w:trPr>
          <w:cantSplit/>
          <w:trHeight w:val="871"/>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標價偏低，未經分析逕行決標，或未通知廠商說明即逕通知繳納差額保證金，或未繳納差額保證金前即決標而於決標後通知繳納差額保證金。</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採購法第五十八條，工程會</w:t>
            </w:r>
            <w:r>
              <w:rPr>
                <w:rFonts w:cs="標楷體"/>
                <w:u w:val="none"/>
              </w:rPr>
              <w:t>訂頒之「依政府採購法第五十八條處理總標價低於底價百分之八十案件之執行程序」</w:t>
            </w:r>
            <w:r>
              <w:rPr>
                <w:rFonts w:cs="新細明體, PMingLiU"/>
                <w:u w:val="none"/>
              </w:rPr>
              <w:t>。</w:t>
            </w:r>
          </w:p>
        </w:tc>
      </w:tr>
      <w:tr w:rsidR="0084660C">
        <w:tblPrEx>
          <w:tblCellMar>
            <w:top w:w="0" w:type="dxa"/>
            <w:bottom w:w="0" w:type="dxa"/>
          </w:tblCellMar>
        </w:tblPrEx>
        <w:trPr>
          <w:cantSplit/>
          <w:trHeight w:val="69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標價偏低，通知廠商提出繳納差額保證金時，允許以押標金或將繳納之切結書代替繳納行為。</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採購法第五十八條，押保辦法第三十條。</w:t>
            </w:r>
          </w:p>
        </w:tc>
      </w:tr>
      <w:tr w:rsidR="0084660C">
        <w:tblPrEx>
          <w:tblCellMar>
            <w:top w:w="0" w:type="dxa"/>
            <w:bottom w:w="0" w:type="dxa"/>
          </w:tblCellMar>
        </w:tblPrEx>
        <w:trPr>
          <w:cantSplit/>
          <w:trHeight w:val="10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標價偏低，通知廠商提出說明時，未注意該廠商與其他廠商間是否有異常或不正當之行為，而給予與次低標串通之可乘之機。</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採購法第五十八條，工程會</w:t>
            </w:r>
            <w:r>
              <w:rPr>
                <w:rFonts w:cs="標楷體"/>
                <w:u w:val="none"/>
              </w:rPr>
              <w:t>訂頒之「依政府採購法第五十八條處理總標價低於底價百分之八十案件之執行程序」</w:t>
            </w:r>
            <w:r>
              <w:rPr>
                <w:rFonts w:cs="新細明體, PMingLiU"/>
                <w:u w:val="none"/>
              </w:rPr>
              <w:t>。</w:t>
            </w:r>
          </w:p>
        </w:tc>
      </w:tr>
      <w:tr w:rsidR="0084660C">
        <w:tblPrEx>
          <w:tblCellMar>
            <w:top w:w="0" w:type="dxa"/>
            <w:bottom w:w="0" w:type="dxa"/>
          </w:tblCellMar>
        </w:tblPrEx>
        <w:trPr>
          <w:cantSplit/>
          <w:trHeight w:val="144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tabs>
                <w:tab w:val="left" w:pos="4761"/>
              </w:tabs>
              <w:ind w:right="151"/>
              <w:jc w:val="both"/>
              <w:rPr>
                <w:rFonts w:cs="新細明體, PMingLiU"/>
                <w:u w:val="none"/>
              </w:rPr>
            </w:pPr>
            <w:r>
              <w:rPr>
                <w:rFonts w:cs="新細明體, PMingLiU"/>
                <w:u w:val="none"/>
              </w:rPr>
              <w:t>對於廠商自稱報價錯誤之處置失當，例如：廠商只含糊自稱報價錯誤，機關未探究錯誤之情形是否屬實及是否有採購法第五十八條之情形，逕不決標予該廠商，予不肖廠商轉手予次低標獲取利差之機會。</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規定決標後樣品檢驗不合格不發還押標金。</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採購法第三十一條第二項。</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使用工程會之招標投標簽約三用格式，卻規定廠商決標後須至機關簽約。</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誤解。</w:t>
            </w:r>
          </w:p>
        </w:tc>
      </w:tr>
      <w:tr w:rsidR="0084660C">
        <w:tblPrEx>
          <w:tblCellMar>
            <w:top w:w="0" w:type="dxa"/>
            <w:bottom w:w="0" w:type="dxa"/>
          </w:tblCellMar>
        </w:tblPrEx>
        <w:trPr>
          <w:cantSplit/>
          <w:trHeight w:val="371"/>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議價案未於議價前參考廠商之報價或估價單訂底價。</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施行細則第五十四條第三項。</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決定最有利標後再洽廠商減價。</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採購法第五十六條，最有利標評選辦法。</w:t>
            </w:r>
          </w:p>
        </w:tc>
      </w:tr>
      <w:tr w:rsidR="0084660C">
        <w:tblPrEx>
          <w:tblCellMar>
            <w:top w:w="0" w:type="dxa"/>
            <w:bottom w:w="0" w:type="dxa"/>
          </w:tblCellMar>
        </w:tblPrEx>
        <w:trPr>
          <w:cantSplit/>
          <w:trHeight w:val="463"/>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noProof/>
                <w:sz w:val="20"/>
                <w:u w:val="none"/>
              </w:rPr>
              <mc:AlternateContent>
                <mc:Choice Requires="wps">
                  <w:drawing>
                    <wp:anchor distT="0" distB="0" distL="114300" distR="114300" simplePos="0" relativeHeight="251659264" behindDoc="0" locked="0" layoutInCell="1" allowOverlap="1">
                      <wp:simplePos x="0" y="0"/>
                      <wp:positionH relativeFrom="column">
                        <wp:posOffset>-424080</wp:posOffset>
                      </wp:positionH>
                      <wp:positionV relativeFrom="paragraph">
                        <wp:posOffset>211317</wp:posOffset>
                      </wp:positionV>
                      <wp:extent cx="339727" cy="1257300"/>
                      <wp:effectExtent l="0" t="0" r="0" b="0"/>
                      <wp:wrapNone/>
                      <wp:docPr id="5" name="框架5"/>
                      <wp:cNvGraphicFramePr/>
                      <a:graphic xmlns:a="http://schemas.openxmlformats.org/drawingml/2006/main">
                        <a:graphicData uri="http://schemas.microsoft.com/office/word/2010/wordprocessingShape">
                          <wps:wsp>
                            <wps:cNvSpPr txBox="1"/>
                            <wps:spPr>
                              <a:xfrm>
                                <a:off x="0" y="0"/>
                                <a:ext cx="339727" cy="1257300"/>
                              </a:xfrm>
                              <a:prstGeom prst="rect">
                                <a:avLst/>
                              </a:prstGeom>
                              <a:noFill/>
                              <a:ln>
                                <a:noFill/>
                                <a:prstDash/>
                              </a:ln>
                            </wps:spPr>
                            <wps:txbx>
                              <w:txbxContent>
                                <w:p w:rsidR="0084660C" w:rsidRDefault="00066470">
                                  <w:pPr>
                                    <w:pStyle w:val="Standard"/>
                                    <w:widowControl/>
                                    <w:rPr>
                                      <w:rFonts w:cs="新細明體, PMingLiU"/>
                                      <w:u w:val="none"/>
                                    </w:rPr>
                                  </w:pPr>
                                  <w:r>
                                    <w:rPr>
                                      <w:rFonts w:cs="新細明體, PMingLiU"/>
                                      <w:u w:val="none"/>
                                    </w:rPr>
                                    <w:t>十、決標程序</w:t>
                                  </w:r>
                                </w:p>
                              </w:txbxContent>
                            </wps:txbx>
                            <wps:bodyPr vert="horz" wrap="none" lIns="92162" tIns="46442" rIns="92162" bIns="46442" anchor="t" anchorCtr="0" compatLnSpc="0">
                              <a:noAutofit/>
                            </wps:bodyPr>
                          </wps:wsp>
                        </a:graphicData>
                      </a:graphic>
                    </wp:anchor>
                  </w:drawing>
                </mc:Choice>
                <mc:Fallback>
                  <w:pict>
                    <v:shape id="框架5" o:spid="_x0000_s1030" type="#_x0000_t202" style="position:absolute;margin-left:-33.4pt;margin-top:16.65pt;width:26.75pt;height:99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" filled="f" stroked="f">
                      <v:textbox inset="2.56006mm,1.2901mm,2.56006mm,1.2901mm">
                        <w:txbxContent>
                          <w:p w:rsidR="0084660C" w:rsidRDefault="00066470">
                            <w:pPr>
                              <w:pStyle w:val="Standard"/>
                              <w:widowControl/>
                              <w:rPr>
                                <w:rFonts w:cs="新細明體, PMingLiU"/>
                                <w:u w:val="none"/>
                              </w:rPr>
                            </w:pPr>
                            <w:r>
                              <w:rPr>
                                <w:rFonts w:cs="新細明體, PMingLiU"/>
                                <w:u w:val="none"/>
                              </w:rPr>
                              <w:t>十、決標程序</w:t>
                            </w:r>
                          </w:p>
                        </w:txbxContent>
                      </v:textbox>
                    </v:shape>
                  </w:pict>
                </mc:Fallback>
              </mc:AlternateContent>
            </w:r>
            <w:r>
              <w:rPr>
                <w:rFonts w:cs="新細明體, PMingLiU"/>
                <w:sz w:val="20"/>
                <w:u w:val="none"/>
              </w:rPr>
              <w:t>（十五）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決定最有利標時未經評選委員會過半數之決定或機關首長之決定。</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採購法第五十六條第一項，採購評選委員會審議規則第九條。</w:t>
            </w:r>
          </w:p>
        </w:tc>
      </w:tr>
      <w:tr w:rsidR="0084660C">
        <w:tblPrEx>
          <w:tblCellMar>
            <w:top w:w="0" w:type="dxa"/>
            <w:bottom w:w="0" w:type="dxa"/>
          </w:tblCellMar>
        </w:tblPrEx>
        <w:trPr>
          <w:cantSplit/>
          <w:trHeight w:val="9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訂有底價之採購，廠商報價已在底價之內（包括平底價），機關未予決標，而要求廠商減價。</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採購法第五十二條，施行細則第六十九條、第七十二條第二項。</w:t>
            </w:r>
          </w:p>
        </w:tc>
      </w:tr>
      <w:tr w:rsidR="0084660C">
        <w:tblPrEx>
          <w:tblCellMar>
            <w:top w:w="0" w:type="dxa"/>
            <w:bottom w:w="0" w:type="dxa"/>
          </w:tblCellMar>
        </w:tblPrEx>
        <w:trPr>
          <w:cantSplit/>
          <w:trHeight w:val="10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未更改招標文件內容而重行訂定之底價，除有正當理由外（例如匯率大幅波動影響底價之訂定），較廢標前合格廠商之最低標價為高。</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採購法第六條、第四十六條第一項。</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決標紀錄記載不全。</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施行細則第六十八條。</w:t>
            </w:r>
          </w:p>
        </w:tc>
      </w:tr>
      <w:tr w:rsidR="0084660C">
        <w:tblPrEx>
          <w:tblCellMar>
            <w:top w:w="0" w:type="dxa"/>
            <w:bottom w:w="0" w:type="dxa"/>
          </w:tblCellMar>
        </w:tblPrEx>
        <w:trPr>
          <w:cantSplit/>
          <w:trHeight w:val="720"/>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ind w:left="113" w:right="113"/>
              <w:jc w:val="center"/>
              <w:rPr>
                <w:rFonts w:cs="新細明體, PMingLiU"/>
                <w:u w:val="none"/>
              </w:rPr>
            </w:pPr>
            <w:r>
              <w:rPr>
                <w:rFonts w:cs="新細明體, PMingLiU"/>
                <w:u w:val="none"/>
              </w:rPr>
              <w:t>十一、可能有圍標之嫌或宜注意之現象</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不肖人士蒐集領標廠商名稱。</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採購法第二十九條、第三十四條第二項。</w:t>
            </w:r>
          </w:p>
        </w:tc>
      </w:tr>
      <w:tr w:rsidR="0084660C">
        <w:tblPrEx>
          <w:tblCellMar>
            <w:top w:w="0" w:type="dxa"/>
            <w:bottom w:w="0" w:type="dxa"/>
          </w:tblCellMar>
        </w:tblPrEx>
        <w:trPr>
          <w:cantSplit/>
          <w:trHeight w:val="871"/>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領標投標期間於機關門口有不明人士徘徊。</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採購法第二十九條、第三十四條第二項、第八十七條。</w:t>
            </w:r>
          </w:p>
        </w:tc>
      </w:tr>
      <w:tr w:rsidR="0084660C">
        <w:tblPrEx>
          <w:tblCellMar>
            <w:top w:w="0" w:type="dxa"/>
            <w:bottom w:w="0" w:type="dxa"/>
          </w:tblCellMar>
        </w:tblPrEx>
        <w:trPr>
          <w:cantSplit/>
          <w:trHeight w:val="1521"/>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繳納押標金之票據連號、所繳納之票據雖不連號卻由同一家銀行開具、押標金退還後流入同一戶頭、投標文件由同一處郵局寄出、掛號信連號、投標文件筆跡雷同、投標文件內容雷同、不同投標廠商投標文件所載負責人為同一人。</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採購法第四十八條第一項、第五十條第一項，工程會九十一年十一月二十七日工程企字第</w:t>
            </w:r>
            <w:r>
              <w:rPr>
                <w:rFonts w:cs="新細明體, PMingLiU"/>
                <w:u w:val="none"/>
              </w:rPr>
              <w:t>09100516820</w:t>
            </w:r>
            <w:r>
              <w:rPr>
                <w:rFonts w:cs="新細明體, PMingLiU"/>
                <w:u w:val="none"/>
              </w:rPr>
              <w:t>號令，工程會一百零五年三月二十一日工程企字第</w:t>
            </w:r>
            <w:r>
              <w:rPr>
                <w:rFonts w:cs="新細明體, PMingLiU"/>
                <w:u w:val="none"/>
              </w:rPr>
              <w:t>10500080180</w:t>
            </w:r>
            <w:r>
              <w:rPr>
                <w:rFonts w:cs="新細明體, PMingLiU"/>
                <w:u w:val="none"/>
              </w:rPr>
              <w:t>號令。</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以不具經驗之新手出席減價會議。</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pStyle w:val="Standard"/>
              <w:widowControl/>
              <w:snapToGrid w:val="0"/>
              <w:rPr>
                <w:rFonts w:cs="新細明體, PMingLiU"/>
                <w:u w:val="none"/>
              </w:rPr>
            </w:pPr>
          </w:p>
        </w:tc>
      </w:tr>
      <w:tr w:rsidR="0084660C">
        <w:tblPrEx>
          <w:tblCellMar>
            <w:top w:w="0" w:type="dxa"/>
            <w:bottom w:w="0" w:type="dxa"/>
          </w:tblCellMar>
        </w:tblPrEx>
        <w:trPr>
          <w:cantSplit/>
          <w:trHeight w:val="469"/>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代表不同廠商出席會議之人員為同一廠商之人員。</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採購法第四十八條第一項、第五十條第一項，工程會九十一年十一月二十七日工程企字第</w:t>
            </w:r>
            <w:r>
              <w:rPr>
                <w:rFonts w:cs="新細明體, PMingLiU"/>
                <w:u w:val="none"/>
              </w:rPr>
              <w:t>09100516820</w:t>
            </w:r>
            <w:r>
              <w:rPr>
                <w:rFonts w:cs="新細明體, PMingLiU"/>
                <w:u w:val="none"/>
              </w:rPr>
              <w:t>號令，工程會九十七年二月十四日工程企字第</w:t>
            </w:r>
            <w:r>
              <w:rPr>
                <w:rFonts w:cs="新細明體, PMingLiU"/>
                <w:u w:val="none"/>
              </w:rPr>
              <w:t>09700060670</w:t>
            </w:r>
            <w:r>
              <w:rPr>
                <w:rFonts w:cs="新細明體, PMingLiU"/>
                <w:u w:val="none"/>
              </w:rPr>
              <w:t>號令。</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廠商簽名虛偽不實。</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採購法第三十一條第二項、第五十條第一項、第一百零一條。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廠商文件虛偽不實。</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105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不同投標廠商提出由同一廠商具名之文件，例如授權各該不同廠商對同一案件投標。部分投標廠商未繳押標金。</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jc w:val="both"/>
            </w:pPr>
            <w:r>
              <w:rPr>
                <w:rFonts w:cs="新細明體, PMingLiU"/>
                <w:u w:val="none"/>
              </w:rPr>
              <w:t>採購法第四十八條第一項、第五十條第一項，九十五年七月二十五日工程企字第</w:t>
            </w:r>
            <w:r>
              <w:rPr>
                <w:rFonts w:cs="新細明體, PMingLiU"/>
                <w:u w:val="none"/>
              </w:rPr>
              <w:t>09500256920</w:t>
            </w:r>
            <w:r>
              <w:rPr>
                <w:rFonts w:cs="新細明體, PMingLiU"/>
                <w:u w:val="none"/>
              </w:rPr>
              <w:t>號令。</w:t>
            </w:r>
          </w:p>
        </w:tc>
      </w:tr>
      <w:tr w:rsidR="0084660C">
        <w:tblPrEx>
          <w:tblCellMar>
            <w:top w:w="0" w:type="dxa"/>
            <w:bottom w:w="0" w:type="dxa"/>
          </w:tblCellMar>
        </w:tblPrEx>
        <w:trPr>
          <w:cantSplit/>
          <w:trHeight w:val="45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廠商標封內為空白文件、無關文件或空無一物。</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45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明顯不符合資格條件之廠商參與投標。</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135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廠商間相互約束活動之行為，例如：彼此協議</w:t>
            </w:r>
            <w:r>
              <w:rPr>
                <w:rFonts w:cs="新細明體, PMingLiU"/>
                <w:color w:val="000000"/>
                <w:u w:val="none"/>
              </w:rPr>
              <w:t>投標價格、</w:t>
            </w:r>
            <w:r>
              <w:rPr>
                <w:rFonts w:cs="新細明體, PMingLiU"/>
                <w:u w:val="none"/>
              </w:rPr>
              <w:t>限制交易地區、分配工程、提高標價造成廢標、不為投標、不越區競標、訂定違規制裁手段、為獲得分包機會而陪標。</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廠商間彼此製造競爭假象，誤導招標機關而取得交易機會。</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726"/>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ind w:left="113" w:right="113"/>
              <w:jc w:val="center"/>
              <w:rPr>
                <w:rFonts w:cs="新細明體, PMingLiU"/>
                <w:u w:val="none"/>
              </w:rPr>
            </w:pPr>
            <w:r>
              <w:rPr>
                <w:rFonts w:cs="新細明體, PMingLiU"/>
                <w:u w:val="none"/>
              </w:rPr>
              <w:t>十二、履約程序</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未確實辦理履約管理，例如：廠商使用非法運輸工具；使用非法外勞；未落實勞工安全；亂倒廢棄物；不宜雨天施工者未予制止。</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採購法第三條、第六十三條、第七十條、第七十條之一。</w:t>
            </w:r>
          </w:p>
        </w:tc>
      </w:tr>
      <w:tr w:rsidR="0084660C">
        <w:tblPrEx>
          <w:tblCellMar>
            <w:top w:w="0" w:type="dxa"/>
            <w:bottom w:w="0" w:type="dxa"/>
          </w:tblCellMar>
        </w:tblPrEx>
        <w:trPr>
          <w:cantSplit/>
          <w:trHeight w:val="548"/>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查驗或驗收作業不實，例如：依廠商建議之區域鑽心取樣。</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採購法第六十三條、第七十條、第七十二條。</w:t>
            </w:r>
          </w:p>
        </w:tc>
      </w:tr>
      <w:tr w:rsidR="0084660C">
        <w:tblPrEx>
          <w:tblCellMar>
            <w:top w:w="0" w:type="dxa"/>
            <w:bottom w:w="0" w:type="dxa"/>
          </w:tblCellMar>
        </w:tblPrEx>
        <w:trPr>
          <w:cantSplit/>
          <w:trHeight w:val="1064"/>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ind w:right="151"/>
              <w:jc w:val="both"/>
            </w:pPr>
            <w:r>
              <w:rPr>
                <w:rFonts w:cs="新細明體, PMingLiU"/>
                <w:u w:val="none"/>
              </w:rPr>
              <w:t>有採購法第一百零一條第一項各款情形之一而未通知廠商將刊登政府採購公報及刊登期間；通知前未給予廠商口頭或書面陳述意見之機會；未成立採購工作及審查小組認定廠商是否該當第一項各款情形之一；通知時未附記救濟程序及期限或附記錯誤；或答復異議時未附記救濟程序及期限；審酌同條第一項所定情節重大，未考量機關所受損害輕重、廠商可歸責程度、實際補救或賠償措施等情形。</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採購法第一百零一條至第一百零三條，施行細則第一百零九條之一。</w:t>
            </w:r>
          </w:p>
        </w:tc>
      </w:tr>
      <w:tr w:rsidR="0084660C">
        <w:tblPrEx>
          <w:tblCellMar>
            <w:top w:w="0" w:type="dxa"/>
            <w:bottom w:w="0" w:type="dxa"/>
          </w:tblCellMar>
        </w:tblPrEx>
        <w:trPr>
          <w:cantSplit/>
          <w:trHeight w:val="593"/>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未將國內員工總人數逾一百人之廠商資料彙送至主管機關決標資料庫。</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公報發行辦法第十四條。</w:t>
            </w:r>
          </w:p>
        </w:tc>
      </w:tr>
      <w:tr w:rsidR="0084660C">
        <w:tblPrEx>
          <w:tblCellMar>
            <w:top w:w="0" w:type="dxa"/>
            <w:bottom w:w="0" w:type="dxa"/>
          </w:tblCellMar>
        </w:tblPrEx>
        <w:trPr>
          <w:cantSplit/>
          <w:trHeight w:val="722"/>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對於轉包行為視若無睹。</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採購法第六十五條、第六十六條、第一百零一條第一項第十一款。</w:t>
            </w:r>
          </w:p>
        </w:tc>
      </w:tr>
      <w:tr w:rsidR="0084660C">
        <w:tblPrEx>
          <w:tblCellMar>
            <w:top w:w="0" w:type="dxa"/>
            <w:bottom w:w="0" w:type="dxa"/>
          </w:tblCellMar>
        </w:tblPrEx>
        <w:trPr>
          <w:cantSplit/>
          <w:trHeight w:val="763"/>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代表廠商出席會議之人員為未得標廠商之人員。</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採購法第五十條第一項、第六十五條、第六十六條、第八十七條、第一百零一條。</w:t>
            </w:r>
          </w:p>
        </w:tc>
      </w:tr>
      <w:tr w:rsidR="0084660C">
        <w:tblPrEx>
          <w:tblCellMar>
            <w:top w:w="0" w:type="dxa"/>
            <w:bottom w:w="0" w:type="dxa"/>
          </w:tblCellMar>
        </w:tblPrEx>
        <w:trPr>
          <w:cantSplit/>
          <w:trHeight w:val="1372"/>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刁難廠商使用同等品。</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ind w:right="151"/>
              <w:jc w:val="both"/>
            </w:pPr>
            <w:r>
              <w:rPr>
                <w:rFonts w:cs="新細明體, PMingLiU"/>
                <w:u w:val="none"/>
              </w:rPr>
              <w:t>採購法第二十六條、第八十八條，施行細則第二十五條，採購契約要項第二十一點，工程會訂定之「政府採購法第二十六條執行注意事項」。</w:t>
            </w:r>
          </w:p>
        </w:tc>
      </w:tr>
      <w:tr w:rsidR="0084660C">
        <w:tblPrEx>
          <w:tblCellMar>
            <w:top w:w="0" w:type="dxa"/>
            <w:bottom w:w="0" w:type="dxa"/>
          </w:tblCellMar>
        </w:tblPrEx>
        <w:trPr>
          <w:cantSplit/>
          <w:trHeight w:val="565"/>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未規定主要部分卻刁難廠商分包。</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ind w:right="151"/>
              <w:jc w:val="both"/>
              <w:rPr>
                <w:rFonts w:cs="新細明體, PMingLiU"/>
                <w:u w:val="none"/>
              </w:rPr>
            </w:pPr>
            <w:r>
              <w:rPr>
                <w:rFonts w:cs="新細明體, PMingLiU"/>
                <w:u w:val="none"/>
              </w:rPr>
              <w:t>採購法第六十五條、第六十七條，施行細則第八十七條。</w:t>
            </w:r>
          </w:p>
        </w:tc>
      </w:tr>
      <w:tr w:rsidR="0084660C">
        <w:tblPrEx>
          <w:tblCellMar>
            <w:top w:w="0" w:type="dxa"/>
            <w:bottom w:w="0" w:type="dxa"/>
          </w:tblCellMar>
        </w:tblPrEx>
        <w:trPr>
          <w:cantSplit/>
          <w:trHeight w:val="109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任意允許廠商辦理契約變更。</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ind w:right="151"/>
              <w:jc w:val="both"/>
            </w:pPr>
            <w:r>
              <w:rPr>
                <w:rFonts w:cs="新細明體, PMingLiU"/>
                <w:u w:val="none"/>
              </w:rPr>
              <w:t>採購法第六條、採購契約要項第二十一點，工程會訂定之「採購契約變更或加減價核准監辦備查規定一覽表」。</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全部不發還保證金之情形過當。</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押保辦法第二十條。</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補助</w:t>
            </w:r>
            <w:r>
              <w:rPr>
                <w:rFonts w:cs="新細明體, PMingLiU"/>
                <w:u w:val="none"/>
              </w:rPr>
              <w:t>(</w:t>
            </w:r>
            <w:r>
              <w:rPr>
                <w:rFonts w:cs="新細明體, PMingLiU"/>
                <w:u w:val="none"/>
              </w:rPr>
              <w:t>藝文採購除外</w:t>
            </w:r>
            <w:r>
              <w:rPr>
                <w:rFonts w:cs="新細明體, PMingLiU"/>
                <w:u w:val="none"/>
              </w:rPr>
              <w:t>)</w:t>
            </w:r>
            <w:r>
              <w:rPr>
                <w:rFonts w:cs="新細明體, PMingLiU"/>
                <w:u w:val="none"/>
              </w:rPr>
              <w:t>或委託機關未盡到監督法人或團體依採購法辦理之責任。</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採購法第四條、第五條，施行細則第二條至第四條。</w:t>
            </w:r>
          </w:p>
        </w:tc>
      </w:tr>
      <w:tr w:rsidR="0084660C">
        <w:tblPrEx>
          <w:tblCellMar>
            <w:top w:w="0" w:type="dxa"/>
            <w:bottom w:w="0" w:type="dxa"/>
          </w:tblCellMar>
        </w:tblPrEx>
        <w:trPr>
          <w:cantSplit/>
          <w:trHeight w:val="418"/>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未依規定期限驗收或付款。</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採購法第六條、第七十一條第一項、第七十三條之一，施行細則第九十二條至第九十五條。</w:t>
            </w:r>
          </w:p>
        </w:tc>
      </w:tr>
      <w:tr w:rsidR="0084660C">
        <w:tblPrEx>
          <w:tblCellMar>
            <w:top w:w="0" w:type="dxa"/>
            <w:bottom w:w="0" w:type="dxa"/>
          </w:tblCellMar>
        </w:tblPrEx>
        <w:trPr>
          <w:cantSplit/>
          <w:trHeight w:val="679"/>
        </w:trPr>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066470">
            <w:pPr>
              <w:pStyle w:val="Standard"/>
              <w:widowControl/>
              <w:ind w:left="113" w:right="113"/>
              <w:jc w:val="center"/>
              <w:rPr>
                <w:rFonts w:cs="新細明體, PMingLiU"/>
                <w:u w:val="none"/>
              </w:rPr>
            </w:pPr>
            <w:r>
              <w:rPr>
                <w:rFonts w:cs="新細明體, PMingLiU"/>
                <w:u w:val="none"/>
              </w:rPr>
              <w:t>十三、其他不法不當行為</w:t>
            </w: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利用職務關係對廠商要求、期約或收受賄賂、回扣、餽贈、優惠交易或其他不正利益。</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採購人員倫理準則（以下簡稱倫理準則）第七條第一款。</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接受與職務有關廠商之食、宿、交通、娛樂、旅遊、冶遊或其他類似情形之免費或優惠招待。</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倫理準則第七條第二款。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不依法令規定辦理採購。</w:t>
            </w:r>
          </w:p>
        </w:tc>
        <w:tc>
          <w:tcPr>
            <w:tcW w:w="32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採購法第三條，倫理準則第七條第三款至第五款。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妨礙採購效率</w:t>
            </w:r>
            <w:r>
              <w:rPr>
                <w:rFonts w:cs="新細明體, PMingLiU"/>
                <w:u w:val="none"/>
              </w:rPr>
              <w:t>(</w:t>
            </w:r>
            <w:r>
              <w:rPr>
                <w:rFonts w:cs="新細明體, PMingLiU"/>
                <w:u w:val="none"/>
              </w:rPr>
              <w:t>例如一再開標流標廢標不知檢討</w:t>
            </w:r>
            <w:r>
              <w:rPr>
                <w:rFonts w:cs="新細明體, PMingLiU"/>
                <w:u w:val="none"/>
              </w:rPr>
              <w:t>)</w:t>
            </w:r>
            <w:r>
              <w:rPr>
                <w:rFonts w:cs="新細明體, PMingLiU"/>
                <w:u w:val="none"/>
              </w:rPr>
              <w:t>。</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浪費國家資源</w:t>
            </w:r>
            <w:r>
              <w:rPr>
                <w:rFonts w:cs="新細明體, PMingLiU"/>
                <w:u w:val="none"/>
              </w:rPr>
              <w:t>(</w:t>
            </w:r>
            <w:r>
              <w:rPr>
                <w:rFonts w:cs="新細明體, PMingLiU"/>
                <w:u w:val="none"/>
              </w:rPr>
              <w:t>例如呆料、存貨過多仍繼續採購；為消化預算而辦理不必要之採購</w:t>
            </w:r>
            <w:r>
              <w:rPr>
                <w:rFonts w:cs="新細明體, PMingLiU"/>
                <w:u w:val="none"/>
              </w:rPr>
              <w:t>)</w:t>
            </w:r>
            <w:r>
              <w:rPr>
                <w:rFonts w:cs="新細明體, PMingLiU"/>
                <w:u w:val="none"/>
              </w:rPr>
              <w:t>。</w:t>
            </w:r>
          </w:p>
        </w:tc>
        <w:tc>
          <w:tcPr>
            <w:tcW w:w="32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84660C">
            <w:pPr>
              <w:rPr>
                <w:rFonts w:hint="eastAsia"/>
              </w:rPr>
            </w:pPr>
          </w:p>
        </w:tc>
      </w:tr>
      <w:tr w:rsidR="0084660C">
        <w:tblPrEx>
          <w:tblCellMar>
            <w:top w:w="0" w:type="dxa"/>
            <w:bottom w:w="0" w:type="dxa"/>
          </w:tblCellMar>
        </w:tblPrEx>
        <w:trPr>
          <w:cantSplit/>
          <w:trHeight w:val="726"/>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未公正辦理採購</w:t>
            </w:r>
            <w:r>
              <w:rPr>
                <w:rFonts w:cs="新細明體, PMingLiU"/>
                <w:u w:val="none"/>
              </w:rPr>
              <w:t>(</w:t>
            </w:r>
            <w:r>
              <w:rPr>
                <w:rFonts w:cs="新細明體, PMingLiU"/>
                <w:u w:val="none"/>
              </w:rPr>
              <w:t>例如未執行利益迴避</w:t>
            </w:r>
            <w:r>
              <w:rPr>
                <w:rFonts w:cs="新細明體, PMingLiU"/>
                <w:u w:val="none"/>
              </w:rPr>
              <w:t>)</w:t>
            </w:r>
            <w:r>
              <w:rPr>
                <w:rFonts w:cs="新細明體, PMingLiU"/>
                <w:u w:val="none"/>
              </w:rPr>
              <w:t>。</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採購法第六條、第十五條，採購評選委員會審議規則第十四條，倫理準則第七條第六款。</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洩漏應保守秘密之採購資訊。</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採購法第三十四條，倫理準則第七條第七款。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利用機關場所營私或公器私用。</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倫理準則第七條第八款。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利用職務關係募款或從事商業活動。</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倫理準則第七條第九款。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利用職務所獲非公開資訊圖私人不正利益。</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倫理準則第七條第十款。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於機關任職期間同時為廠商所僱用。</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倫理準則第七條第十一款。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jc w:val="both"/>
              <w:rPr>
                <w:rFonts w:cs="新細明體, PMingLiU"/>
                <w:u w:val="none"/>
              </w:rPr>
            </w:pPr>
            <w:r>
              <w:rPr>
                <w:rFonts w:cs="新細明體, PMingLiU"/>
                <w:u w:val="none"/>
              </w:rPr>
              <w:t>於公務場所張貼或懸掛廠商廣告物。</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倫理準則第七條第十二款。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利用職務關係媒介親友至廠商處所任職。</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倫理準則第七條第十三款。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利用職務關係與廠商有借貸或非經公開交易之投資關係。</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倫理準則第七條第十四款。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（十五）</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要求廠商提供與採購無關之服務。</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倫理準則第七條第十五款。</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（十六）</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為廠商請託或關說，或接受請託或關說。</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採購法第十六條，倫理準則第四條、第七條第十六款。</w:t>
            </w:r>
          </w:p>
        </w:tc>
      </w:tr>
      <w:tr w:rsidR="0084660C">
        <w:tblPrEx>
          <w:tblCellMar>
            <w:top w:w="0" w:type="dxa"/>
            <w:bottom w:w="0" w:type="dxa"/>
          </w:tblCellMar>
        </w:tblPrEx>
        <w:trPr>
          <w:cantSplit/>
          <w:trHeight w:val="10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（十七）</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意圖為私人不正利益而高估預算、底價或應付契約價金，或為不當之規劃、設計、招標、審標、決標、履約管理或驗收。</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採購法第六條、第四十六條，倫理準則第七條第十七款。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（十八）</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藉婚喪喜慶機會向廠商索取金錢或財物。</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倫理準則第七條第十八款。</w:t>
            </w:r>
          </w:p>
        </w:tc>
      </w:tr>
      <w:tr w:rsidR="0084660C">
        <w:tblPrEx>
          <w:tblCellMar>
            <w:top w:w="0" w:type="dxa"/>
            <w:bottom w:w="0" w:type="dxa"/>
          </w:tblCellMar>
        </w:tblPrEx>
        <w:trPr>
          <w:cantSplit/>
          <w:trHeight w:val="10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（十九）</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從事足以影響採購人員尊嚴或使一般人認其有不能公正執行職務之事務或活動。</w:t>
            </w:r>
            <w:r>
              <w:rPr>
                <w:rFonts w:cs="新細明體, PMingLiU"/>
                <w:u w:val="none"/>
              </w:rPr>
              <w:t>(</w:t>
            </w:r>
            <w:r>
              <w:rPr>
                <w:rFonts w:cs="新細明體, PMingLiU"/>
                <w:u w:val="none"/>
              </w:rPr>
              <w:t>例如與廠商人員結伴出國旅遊</w:t>
            </w:r>
            <w:r>
              <w:rPr>
                <w:rFonts w:cs="新細明體, PMingLiU"/>
                <w:u w:val="none"/>
              </w:rPr>
              <w:t>)</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倫理準則第七條第十九款。</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（二十）</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以不具專業採購能力或經驗之人員辦理採購。</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採購法第九十五條。</w:t>
            </w:r>
          </w:p>
        </w:tc>
      </w:tr>
      <w:tr w:rsidR="0084660C">
        <w:tblPrEx>
          <w:tblCellMar>
            <w:top w:w="0" w:type="dxa"/>
            <w:bottom w:w="0" w:type="dxa"/>
          </w:tblCellMar>
        </w:tblPrEx>
        <w:trPr>
          <w:cantSplit/>
          <w:trHeight w:val="7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（二十一）</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遇有犯採購法第八十七條至第九十二條罪之嫌者未通知檢警調單位。</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採購法第三條、第八十七條至第九十二條。</w:t>
            </w:r>
          </w:p>
        </w:tc>
      </w:tr>
      <w:tr w:rsidR="0084660C">
        <w:tblPrEx>
          <w:tblCellMar>
            <w:top w:w="0" w:type="dxa"/>
            <w:bottom w:w="0" w:type="dxa"/>
          </w:tblCellMar>
        </w:tblPrEx>
        <w:trPr>
          <w:cantSplit/>
          <w:trHeight w:val="42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（二十二）</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u w:val="none"/>
              </w:rPr>
              <w:t>未依工程會、上級機關或監辦單位之通知改正錯誤。</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採購法第三條。</w:t>
            </w:r>
          </w:p>
        </w:tc>
      </w:tr>
      <w:tr w:rsidR="0084660C">
        <w:tblPrEx>
          <w:tblCellMar>
            <w:top w:w="0" w:type="dxa"/>
            <w:bottom w:w="0" w:type="dxa"/>
          </w:tblCellMar>
        </w:tblPrEx>
        <w:trPr>
          <w:cantSplit/>
          <w:trHeight w:val="1080"/>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（二十三）</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漠視廠商之異議或合理、善意之建議。</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u w:val="none"/>
              </w:rPr>
            </w:pPr>
            <w:r>
              <w:rPr>
                <w:rFonts w:cs="新細明體, PMingLiU"/>
                <w:u w:val="none"/>
              </w:rPr>
              <w:t>採購法第七十五條、第八十四條，施行細則第一百零五條之一。</w:t>
            </w:r>
          </w:p>
        </w:tc>
      </w:tr>
      <w:tr w:rsidR="0084660C">
        <w:tblPrEx>
          <w:tblCellMar>
            <w:top w:w="0" w:type="dxa"/>
            <w:bottom w:w="0" w:type="dxa"/>
          </w:tblCellMar>
        </w:tblPrEx>
        <w:trPr>
          <w:cantSplit/>
          <w:trHeight w:val="1243"/>
        </w:trPr>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rsidR="0084660C" w:rsidRDefault="0084660C">
            <w:pPr>
              <w:rPr>
                <w:rFonts w:hint="eastAsia"/>
              </w:rPr>
            </w:pPr>
          </w:p>
        </w:tc>
        <w:tc>
          <w:tcPr>
            <w:tcW w:w="11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rPr>
                <w:rFonts w:cs="新細明體, PMingLiU"/>
                <w:sz w:val="20"/>
                <w:u w:val="none"/>
              </w:rPr>
            </w:pPr>
            <w:r>
              <w:rPr>
                <w:rFonts w:cs="新細明體, PMingLiU"/>
                <w:sz w:val="20"/>
                <w:u w:val="none"/>
              </w:rPr>
              <w:t>（二十四）</w:t>
            </w:r>
          </w:p>
        </w:tc>
        <w:tc>
          <w:tcPr>
            <w:tcW w:w="49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4660C" w:rsidRDefault="00066470">
            <w:pPr>
              <w:pStyle w:val="Standard"/>
              <w:widowControl/>
            </w:pPr>
            <w:r>
              <w:rPr>
                <w:rFonts w:cs="新細明體, PMingLiU"/>
                <w:color w:val="000000"/>
                <w:u w:val="none"/>
              </w:rPr>
              <w:t>適用促進民間參與公共建設法（以下簡稱促參法）之案件，誤用採購法辦理</w:t>
            </w:r>
            <w:r>
              <w:rPr>
                <w:rFonts w:cs="新細明體, PMingLiU"/>
                <w:u w:val="none"/>
              </w:rPr>
              <w:t>。</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660C" w:rsidRDefault="00066470">
            <w:pPr>
              <w:pStyle w:val="Standard"/>
              <w:jc w:val="both"/>
            </w:pPr>
            <w:r>
              <w:rPr>
                <w:rFonts w:cs="標楷體"/>
                <w:u w:val="none"/>
              </w:rPr>
              <w:t>促參法第</w:t>
            </w:r>
            <w:r>
              <w:rPr>
                <w:u w:val="none"/>
              </w:rPr>
              <w:t>二</w:t>
            </w:r>
            <w:r>
              <w:rPr>
                <w:rFonts w:cs="標楷體"/>
                <w:u w:val="none"/>
              </w:rPr>
              <w:t>條、第四十八條，採購法第</w:t>
            </w:r>
            <w:r>
              <w:rPr>
                <w:u w:val="none"/>
              </w:rPr>
              <w:t>二</w:t>
            </w:r>
            <w:r>
              <w:rPr>
                <w:rFonts w:cs="標楷體"/>
                <w:u w:val="none"/>
              </w:rPr>
              <w:t>條、第三條、第七條、第</w:t>
            </w:r>
            <w:r>
              <w:rPr>
                <w:u w:val="none"/>
              </w:rPr>
              <w:t>九十九</w:t>
            </w:r>
            <w:r>
              <w:rPr>
                <w:rFonts w:cs="標楷體"/>
                <w:u w:val="none"/>
              </w:rPr>
              <w:t>條。</w:t>
            </w:r>
          </w:p>
        </w:tc>
      </w:tr>
    </w:tbl>
    <w:p w:rsidR="0084660C" w:rsidRDefault="0084660C">
      <w:pPr>
        <w:pStyle w:val="Standard"/>
        <w:jc w:val="center"/>
        <w:rPr>
          <w:u w:val="none"/>
        </w:rPr>
      </w:pPr>
    </w:p>
    <w:sectPr w:rsidR="0084660C">
      <w:footerReference w:type="default" r:id="rId7"/>
      <w:pgSz w:w="11906" w:h="16838"/>
      <w:pgMar w:top="773" w:right="1134" w:bottom="773" w:left="1134" w:header="720" w:footer="3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470" w:rsidRDefault="00066470">
      <w:pPr>
        <w:rPr>
          <w:rFonts w:hint="eastAsia"/>
        </w:rPr>
      </w:pPr>
      <w:r>
        <w:separator/>
      </w:r>
    </w:p>
  </w:endnote>
  <w:endnote w:type="continuationSeparator" w:id="0">
    <w:p w:rsidR="00066470" w:rsidRDefault="000664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9B3" w:rsidRDefault="00066470">
    <w:pPr>
      <w:pStyle w:val="a6"/>
      <w:jc w:val="center"/>
    </w:pPr>
    <w:r>
      <w:rPr>
        <w:rStyle w:val="a9"/>
        <w:u w:val="none"/>
      </w:rPr>
      <w:fldChar w:fldCharType="begin"/>
    </w:r>
    <w:r>
      <w:rPr>
        <w:rStyle w:val="a9"/>
        <w:u w:val="none"/>
      </w:rPr>
      <w:instrText xml:space="preserve"> PAGE </w:instrText>
    </w:r>
    <w:r>
      <w:rPr>
        <w:rStyle w:val="a9"/>
        <w:u w:val="none"/>
      </w:rPr>
      <w:fldChar w:fldCharType="separate"/>
    </w:r>
    <w:r w:rsidR="00443E17">
      <w:rPr>
        <w:rStyle w:val="a9"/>
        <w:noProof/>
        <w:u w:val="none"/>
      </w:rPr>
      <w:t>1</w:t>
    </w:r>
    <w:r>
      <w:rPr>
        <w:rStyle w:val="a9"/>
        <w:u w: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470" w:rsidRDefault="00066470">
      <w:pPr>
        <w:rPr>
          <w:rFonts w:hint="eastAsia"/>
        </w:rPr>
      </w:pPr>
      <w:r>
        <w:rPr>
          <w:color w:val="000000"/>
        </w:rPr>
        <w:separator/>
      </w:r>
    </w:p>
  </w:footnote>
  <w:footnote w:type="continuationSeparator" w:id="0">
    <w:p w:rsidR="00066470" w:rsidRDefault="0006647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3290"/>
    <w:multiLevelType w:val="multilevel"/>
    <w:tmpl w:val="0E18029C"/>
    <w:styleLink w:val="WW8Num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756305"/>
    <w:multiLevelType w:val="multilevel"/>
    <w:tmpl w:val="15A82CA0"/>
    <w:styleLink w:val="WW8Num28"/>
    <w:lvl w:ilvl="0">
      <w:start w:val="1"/>
      <w:numFmt w:val="decimal"/>
      <w:lvlText w:val="%1、"/>
      <w:lvlJc w:val="left"/>
      <w:pPr>
        <w:ind w:left="360" w:hanging="360"/>
      </w:pPr>
      <w:rPr>
        <w:rFonts w:ascii="Times New Roman" w:eastAsia="標楷體"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0426A4F"/>
    <w:multiLevelType w:val="multilevel"/>
    <w:tmpl w:val="4D9A8376"/>
    <w:styleLink w:val="WW8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0F1C37"/>
    <w:multiLevelType w:val="multilevel"/>
    <w:tmpl w:val="5B0E8AB0"/>
    <w:styleLink w:val="WW8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F6343BE"/>
    <w:multiLevelType w:val="multilevel"/>
    <w:tmpl w:val="05A855A8"/>
    <w:styleLink w:val="WW8Num1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2293A20"/>
    <w:multiLevelType w:val="multilevel"/>
    <w:tmpl w:val="2D14E630"/>
    <w:styleLink w:val="WW8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4493229"/>
    <w:multiLevelType w:val="multilevel"/>
    <w:tmpl w:val="26FE2FBE"/>
    <w:styleLink w:val="WW8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6FF494A"/>
    <w:multiLevelType w:val="multilevel"/>
    <w:tmpl w:val="E2A8D43C"/>
    <w:styleLink w:val="WW8Num2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92C3ECA"/>
    <w:multiLevelType w:val="multilevel"/>
    <w:tmpl w:val="3632AA04"/>
    <w:styleLink w:val="WW8Num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A7F7708"/>
    <w:multiLevelType w:val="multilevel"/>
    <w:tmpl w:val="6DC82D60"/>
    <w:styleLink w:val="WW8Num33"/>
    <w:lvl w:ilvl="0">
      <w:start w:val="1"/>
      <w:numFmt w:val="decimal"/>
      <w:lvlText w:val="%1、"/>
      <w:lvlJc w:val="left"/>
      <w:pPr>
        <w:ind w:left="360" w:hanging="360"/>
      </w:pPr>
      <w:rPr>
        <w:rFonts w:ascii="Times New Roman" w:eastAsia="標楷體" w:hAnsi="Times New Roman" w:cs="Times New Roman"/>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A8E4C36"/>
    <w:multiLevelType w:val="multilevel"/>
    <w:tmpl w:val="FCAAC4C6"/>
    <w:styleLink w:val="WW8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F2A0B00"/>
    <w:multiLevelType w:val="multilevel"/>
    <w:tmpl w:val="6B6C8470"/>
    <w:styleLink w:val="WW8Num2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3905FC7"/>
    <w:multiLevelType w:val="multilevel"/>
    <w:tmpl w:val="3F283348"/>
    <w:styleLink w:val="WW8Num18"/>
    <w:lvl w:ilvl="0">
      <w:start w:val="1"/>
      <w:numFmt w:val="decimal"/>
      <w:lvlText w:val="%1、"/>
      <w:lvlJc w:val="left"/>
      <w:pPr>
        <w:ind w:left="360" w:hanging="360"/>
      </w:pPr>
      <w:rPr>
        <w:rFonts w:ascii="Times New Roman" w:eastAsia="標楷體"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47413BB"/>
    <w:multiLevelType w:val="multilevel"/>
    <w:tmpl w:val="356E2A20"/>
    <w:styleLink w:val="WW8Num5"/>
    <w:lvl w:ilvl="0">
      <w:start w:val="1"/>
      <w:numFmt w:val="japaneseCounting"/>
      <w:pStyle w:val="a"/>
      <w:suff w:val="nothing"/>
      <w:lvlText w:val="%1、"/>
      <w:lvlJc w:val="left"/>
      <w:pPr>
        <w:ind w:left="947" w:hanging="635"/>
      </w:pPr>
      <w:rPr>
        <w:rFonts w:ascii="標楷體" w:eastAsia="標楷體" w:hAnsi="標楷體"/>
        <w:b w:val="0"/>
        <w:i w:val="0"/>
        <w:sz w:val="32"/>
      </w:rPr>
    </w:lvl>
    <w:lvl w:ilvl="1">
      <w:start w:val="1"/>
      <w:numFmt w:val="japaneseCounting"/>
      <w:suff w:val="nothing"/>
      <w:lvlText w:val="(%2)"/>
      <w:lvlJc w:val="left"/>
      <w:pPr>
        <w:ind w:left="1378" w:hanging="527"/>
      </w:pPr>
      <w:rPr>
        <w:rFonts w:eastAsia="標楷體"/>
        <w:b w:val="0"/>
        <w:i w:val="0"/>
        <w:sz w:val="32"/>
      </w:rPr>
    </w:lvl>
    <w:lvl w:ilvl="2">
      <w:start w:val="1"/>
      <w:numFmt w:val="decimal"/>
      <w:suff w:val="nothing"/>
      <w:lvlText w:val="%3、"/>
      <w:lvlJc w:val="left"/>
      <w:pPr>
        <w:ind w:left="1605" w:hanging="641"/>
      </w:pPr>
      <w:rPr>
        <w:rFonts w:eastAsia="標楷體"/>
        <w:b w:val="0"/>
        <w:i w:val="0"/>
        <w:sz w:val="32"/>
      </w:rPr>
    </w:lvl>
    <w:lvl w:ilvl="3">
      <w:start w:val="1"/>
      <w:numFmt w:val="decimal"/>
      <w:suff w:val="nothing"/>
      <w:lvlText w:val="(%4)"/>
      <w:lvlJc w:val="left"/>
      <w:pPr>
        <w:ind w:left="2041" w:hanging="538"/>
      </w:pPr>
      <w:rPr>
        <w:rFonts w:eastAsia="標楷體"/>
        <w:b w:val="0"/>
        <w:i w:val="0"/>
        <w:sz w:val="32"/>
      </w:rPr>
    </w:lvl>
    <w:lvl w:ilvl="4">
      <w:start w:val="1"/>
      <w:numFmt w:val="none"/>
      <w:suff w:val="nothing"/>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35B64C94"/>
    <w:multiLevelType w:val="multilevel"/>
    <w:tmpl w:val="180E201E"/>
    <w:styleLink w:val="WW8Num22"/>
    <w:lvl w:ilvl="0">
      <w:start w:val="1"/>
      <w:numFmt w:val="decimal"/>
      <w:lvlText w:val="%1."/>
      <w:lvlJc w:val="left"/>
      <w:pPr>
        <w:ind w:left="360" w:hanging="36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73948A1"/>
    <w:multiLevelType w:val="multilevel"/>
    <w:tmpl w:val="F986458E"/>
    <w:styleLink w:val="WW8Num29"/>
    <w:lvl w:ilvl="0">
      <w:start w:val="1"/>
      <w:numFmt w:val="decimal"/>
      <w:lvlText w:val="%1、"/>
      <w:lvlJc w:val="left"/>
      <w:pPr>
        <w:ind w:left="360" w:hanging="360"/>
      </w:pPr>
      <w:rPr>
        <w:rFonts w:ascii="Times New Roman" w:eastAsia="標楷體"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9187C9F"/>
    <w:multiLevelType w:val="multilevel"/>
    <w:tmpl w:val="87B8FF86"/>
    <w:styleLink w:val="WW8Num1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BEE46F1"/>
    <w:multiLevelType w:val="multilevel"/>
    <w:tmpl w:val="B636A59C"/>
    <w:styleLink w:val="WW8Num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C8D2280"/>
    <w:multiLevelType w:val="multilevel"/>
    <w:tmpl w:val="73ACF5A6"/>
    <w:styleLink w:val="WW8Num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F945B67"/>
    <w:multiLevelType w:val="multilevel"/>
    <w:tmpl w:val="94DEA526"/>
    <w:styleLink w:val="WW8Num1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22C5AA3"/>
    <w:multiLevelType w:val="multilevel"/>
    <w:tmpl w:val="E828E588"/>
    <w:styleLink w:val="WW8Num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B0006E"/>
    <w:multiLevelType w:val="multilevel"/>
    <w:tmpl w:val="489AC09A"/>
    <w:styleLink w:val="WW8Num2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A5730FF"/>
    <w:multiLevelType w:val="multilevel"/>
    <w:tmpl w:val="B0D456AE"/>
    <w:styleLink w:val="WW8Num15"/>
    <w:lvl w:ilvl="0">
      <w:start w:val="1"/>
      <w:numFmt w:val="decimal"/>
      <w:lvlText w:val="%1、"/>
      <w:lvlJc w:val="left"/>
      <w:pPr>
        <w:ind w:left="360" w:hanging="360"/>
      </w:pPr>
      <w:rPr>
        <w:rFonts w:ascii="Times New Roman" w:eastAsia="標楷體"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D6D232B"/>
    <w:multiLevelType w:val="multilevel"/>
    <w:tmpl w:val="D26CFD6A"/>
    <w:styleLink w:val="WW8Num19"/>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 w15:restartNumberingAfterBreak="0">
    <w:nsid w:val="50AB6C85"/>
    <w:multiLevelType w:val="multilevel"/>
    <w:tmpl w:val="F0BCFB96"/>
    <w:styleLink w:val="WW8Num26"/>
    <w:lvl w:ilvl="0">
      <w:start w:val="1"/>
      <w:numFmt w:val="decimal"/>
      <w:lvlText w:val="%1、"/>
      <w:lvlJc w:val="left"/>
      <w:pPr>
        <w:ind w:left="360" w:hanging="360"/>
      </w:pPr>
      <w:rPr>
        <w:rFonts w:ascii="Times New Roman" w:eastAsia="標楷體"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12C4B3B"/>
    <w:multiLevelType w:val="multilevel"/>
    <w:tmpl w:val="D42AEF9E"/>
    <w:styleLink w:val="WW8Num16"/>
    <w:lvl w:ilvl="0">
      <w:start w:val="1"/>
      <w:numFmt w:val="decimal"/>
      <w:lvlText w:val="%1、"/>
      <w:lvlJc w:val="left"/>
      <w:pPr>
        <w:ind w:left="360" w:hanging="360"/>
      </w:pPr>
      <w:rPr>
        <w:rFonts w:ascii="Times New Roman" w:eastAsia="標楷體"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7BA4D73"/>
    <w:multiLevelType w:val="multilevel"/>
    <w:tmpl w:val="F55A27A2"/>
    <w:styleLink w:val="WW8Num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95D67A2"/>
    <w:multiLevelType w:val="multilevel"/>
    <w:tmpl w:val="1A42D756"/>
    <w:styleLink w:val="WW8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B1B29E0"/>
    <w:multiLevelType w:val="multilevel"/>
    <w:tmpl w:val="61CE79D6"/>
    <w:styleLink w:val="WW8Num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CCF0110"/>
    <w:multiLevelType w:val="multilevel"/>
    <w:tmpl w:val="F050B1CA"/>
    <w:styleLink w:val="WW8Num30"/>
    <w:lvl w:ilvl="0">
      <w:start w:val="1"/>
      <w:numFmt w:val="decimal"/>
      <w:lvlText w:val="%1、"/>
      <w:lvlJc w:val="left"/>
      <w:pPr>
        <w:ind w:left="360" w:hanging="360"/>
      </w:pPr>
      <w:rPr>
        <w:rFonts w:ascii="Times New Roman" w:eastAsia="標楷體" w:hAnsi="Times New Roman" w:cs="Times New Roman"/>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DE94E92"/>
    <w:multiLevelType w:val="multilevel"/>
    <w:tmpl w:val="FD2E9876"/>
    <w:styleLink w:val="WW8Num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8022C40"/>
    <w:multiLevelType w:val="multilevel"/>
    <w:tmpl w:val="ABB49B62"/>
    <w:styleLink w:val="WW8Num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C5D55AD"/>
    <w:multiLevelType w:val="multilevel"/>
    <w:tmpl w:val="1854A65A"/>
    <w:styleLink w:val="WW8Num9"/>
    <w:lvl w:ilvl="0">
      <w:start w:val="1"/>
      <w:numFmt w:val="japaneseCounting"/>
      <w:lvlText w:val="%1、"/>
      <w:lvlJc w:val="left"/>
      <w:pPr>
        <w:ind w:left="217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27"/>
  </w:num>
  <w:num w:numId="3">
    <w:abstractNumId w:val="26"/>
  </w:num>
  <w:num w:numId="4">
    <w:abstractNumId w:val="31"/>
  </w:num>
  <w:num w:numId="5">
    <w:abstractNumId w:val="13"/>
  </w:num>
  <w:num w:numId="6">
    <w:abstractNumId w:val="10"/>
  </w:num>
  <w:num w:numId="7">
    <w:abstractNumId w:val="20"/>
  </w:num>
  <w:num w:numId="8">
    <w:abstractNumId w:val="3"/>
  </w:num>
  <w:num w:numId="9">
    <w:abstractNumId w:val="32"/>
  </w:num>
  <w:num w:numId="10">
    <w:abstractNumId w:val="18"/>
  </w:num>
  <w:num w:numId="11">
    <w:abstractNumId w:val="16"/>
  </w:num>
  <w:num w:numId="12">
    <w:abstractNumId w:val="19"/>
  </w:num>
  <w:num w:numId="13">
    <w:abstractNumId w:val="8"/>
  </w:num>
  <w:num w:numId="14">
    <w:abstractNumId w:val="28"/>
  </w:num>
  <w:num w:numId="15">
    <w:abstractNumId w:val="22"/>
  </w:num>
  <w:num w:numId="16">
    <w:abstractNumId w:val="25"/>
  </w:num>
  <w:num w:numId="17">
    <w:abstractNumId w:val="4"/>
  </w:num>
  <w:num w:numId="18">
    <w:abstractNumId w:val="12"/>
  </w:num>
  <w:num w:numId="19">
    <w:abstractNumId w:val="23"/>
  </w:num>
  <w:num w:numId="20">
    <w:abstractNumId w:val="17"/>
  </w:num>
  <w:num w:numId="21">
    <w:abstractNumId w:val="0"/>
  </w:num>
  <w:num w:numId="22">
    <w:abstractNumId w:val="14"/>
  </w:num>
  <w:num w:numId="23">
    <w:abstractNumId w:val="21"/>
  </w:num>
  <w:num w:numId="24">
    <w:abstractNumId w:val="5"/>
  </w:num>
  <w:num w:numId="25">
    <w:abstractNumId w:val="7"/>
  </w:num>
  <w:num w:numId="26">
    <w:abstractNumId w:val="24"/>
  </w:num>
  <w:num w:numId="27">
    <w:abstractNumId w:val="11"/>
  </w:num>
  <w:num w:numId="28">
    <w:abstractNumId w:val="1"/>
  </w:num>
  <w:num w:numId="29">
    <w:abstractNumId w:val="15"/>
  </w:num>
  <w:num w:numId="30">
    <w:abstractNumId w:val="29"/>
  </w:num>
  <w:num w:numId="31">
    <w:abstractNumId w:val="6"/>
  </w:num>
  <w:num w:numId="32">
    <w:abstractNumId w:val="3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84660C"/>
    <w:rsid w:val="00066470"/>
    <w:rsid w:val="00443E17"/>
    <w:rsid w:val="008466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80833A-6D61-46DF-8603-3391FF96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rFonts w:ascii="標楷體" w:eastAsia="標楷體" w:hAnsi="標楷體" w:cs="Times New Roman"/>
      <w:szCs w:val="20"/>
      <w:u w:val="wave"/>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6">
    <w:name w:val="footer"/>
    <w:basedOn w:val="Standard"/>
    <w:pPr>
      <w:tabs>
        <w:tab w:val="center" w:pos="4153"/>
        <w:tab w:val="right" w:pos="8306"/>
      </w:tabs>
      <w:snapToGrid w:val="0"/>
    </w:pPr>
    <w:rPr>
      <w:sz w:val="20"/>
    </w:rPr>
  </w:style>
  <w:style w:type="paragraph" w:styleId="a7">
    <w:name w:val="header"/>
    <w:basedOn w:val="Standard"/>
    <w:pPr>
      <w:tabs>
        <w:tab w:val="center" w:pos="4153"/>
        <w:tab w:val="right" w:pos="8306"/>
      </w:tabs>
      <w:snapToGrid w:val="0"/>
    </w:pPr>
    <w:rPr>
      <w:sz w:val="20"/>
    </w:rPr>
  </w:style>
  <w:style w:type="paragraph" w:customStyle="1" w:styleId="Textbodyindent">
    <w:name w:val="Text body indent"/>
    <w:basedOn w:val="Standard"/>
    <w:pPr>
      <w:ind w:left="727" w:hanging="727"/>
    </w:pPr>
  </w:style>
  <w:style w:type="paragraph" w:styleId="2">
    <w:name w:val="Body Text Indent 2"/>
    <w:basedOn w:val="Standard"/>
    <w:pPr>
      <w:ind w:left="497" w:hanging="497"/>
    </w:pPr>
    <w:rPr>
      <w:u w:val="none"/>
    </w:rPr>
  </w:style>
  <w:style w:type="paragraph" w:customStyle="1" w:styleId="font6">
    <w:name w:val="font6"/>
    <w:basedOn w:val="Standard"/>
    <w:pPr>
      <w:widowControl/>
      <w:spacing w:before="100" w:after="100"/>
    </w:pPr>
    <w:rPr>
      <w:rFonts w:cs="標楷體"/>
      <w:szCs w:val="24"/>
      <w:u w:val="none"/>
    </w:rPr>
  </w:style>
  <w:style w:type="paragraph" w:styleId="a8">
    <w:name w:val="Balloon Text"/>
    <w:basedOn w:val="Standard"/>
    <w:rPr>
      <w:rFonts w:ascii="Arial" w:eastAsia="新細明體, PMingLiU" w:hAnsi="Arial" w:cs="Arial"/>
      <w:sz w:val="18"/>
      <w:szCs w:val="18"/>
    </w:rPr>
  </w:style>
  <w:style w:type="paragraph" w:customStyle="1" w:styleId="a">
    <w:name w:val="分項段落"/>
    <w:basedOn w:val="Standard"/>
    <w:pPr>
      <w:widowControl/>
      <w:numPr>
        <w:numId w:val="5"/>
      </w:numPr>
      <w:snapToGrid w:val="0"/>
      <w:spacing w:line="500" w:lineRule="exact"/>
      <w:jc w:val="both"/>
    </w:pPr>
    <w:rPr>
      <w:rFonts w:ascii="Times New Roman" w:eastAsia="Times New Roman" w:hAnsi="Times New Roman"/>
      <w:sz w:val="32"/>
      <w:u w:val="none"/>
      <w:lang w:val="zh-TW"/>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b w:val="0"/>
      <w:i w:val="0"/>
      <w:sz w:val="32"/>
    </w:rPr>
  </w:style>
  <w:style w:type="character" w:customStyle="1" w:styleId="WW8Num5z1">
    <w:name w:val="WW8Num5z1"/>
    <w:rPr>
      <w:rFonts w:eastAsia="標楷體"/>
      <w:b w:val="0"/>
      <w:i w:val="0"/>
      <w:sz w:val="32"/>
    </w:rPr>
  </w:style>
  <w:style w:type="character" w:customStyle="1" w:styleId="WW8Num5z4">
    <w:name w:val="WW8Num5z4"/>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標楷體" w:hAnsi="Times New Roman" w:cs="Times New Roma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標楷體" w:hAnsi="Times New Roman"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標楷體" w:hAnsi="Times New Roman" w:cs="Times New Roman"/>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標楷體"/>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標楷體"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標楷體"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標楷體" w:hAnsi="Times New Roman" w:cs="Times New Roman"/>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標楷體" w:hAnsi="Times New Roman" w:cs="Times New Roman"/>
      <w:color w:val="00000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標楷體" w:hAnsi="Times New Roman" w:cs="Times New Roman"/>
      <w:color w:val="00000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styleId="a9">
    <w:name w:val="page number"/>
    <w:basedOn w:val="a1"/>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 w:type="numbering" w:customStyle="1" w:styleId="WW8Num20">
    <w:name w:val="WW8Num20"/>
    <w:basedOn w:val="a3"/>
    <w:pPr>
      <w:numPr>
        <w:numId w:val="20"/>
      </w:numPr>
    </w:pPr>
  </w:style>
  <w:style w:type="numbering" w:customStyle="1" w:styleId="WW8Num21">
    <w:name w:val="WW8Num21"/>
    <w:basedOn w:val="a3"/>
    <w:pPr>
      <w:numPr>
        <w:numId w:val="21"/>
      </w:numPr>
    </w:pPr>
  </w:style>
  <w:style w:type="numbering" w:customStyle="1" w:styleId="WW8Num22">
    <w:name w:val="WW8Num22"/>
    <w:basedOn w:val="a3"/>
    <w:pPr>
      <w:numPr>
        <w:numId w:val="22"/>
      </w:numPr>
    </w:pPr>
  </w:style>
  <w:style w:type="numbering" w:customStyle="1" w:styleId="WW8Num23">
    <w:name w:val="WW8Num23"/>
    <w:basedOn w:val="a3"/>
    <w:pPr>
      <w:numPr>
        <w:numId w:val="23"/>
      </w:numPr>
    </w:pPr>
  </w:style>
  <w:style w:type="numbering" w:customStyle="1" w:styleId="WW8Num24">
    <w:name w:val="WW8Num24"/>
    <w:basedOn w:val="a3"/>
    <w:pPr>
      <w:numPr>
        <w:numId w:val="24"/>
      </w:numPr>
    </w:pPr>
  </w:style>
  <w:style w:type="numbering" w:customStyle="1" w:styleId="WW8Num25">
    <w:name w:val="WW8Num25"/>
    <w:basedOn w:val="a3"/>
    <w:pPr>
      <w:numPr>
        <w:numId w:val="25"/>
      </w:numPr>
    </w:pPr>
  </w:style>
  <w:style w:type="numbering" w:customStyle="1" w:styleId="WW8Num26">
    <w:name w:val="WW8Num26"/>
    <w:basedOn w:val="a3"/>
    <w:pPr>
      <w:numPr>
        <w:numId w:val="26"/>
      </w:numPr>
    </w:pPr>
  </w:style>
  <w:style w:type="numbering" w:customStyle="1" w:styleId="WW8Num27">
    <w:name w:val="WW8Num27"/>
    <w:basedOn w:val="a3"/>
    <w:pPr>
      <w:numPr>
        <w:numId w:val="27"/>
      </w:numPr>
    </w:pPr>
  </w:style>
  <w:style w:type="numbering" w:customStyle="1" w:styleId="WW8Num28">
    <w:name w:val="WW8Num28"/>
    <w:basedOn w:val="a3"/>
    <w:pPr>
      <w:numPr>
        <w:numId w:val="28"/>
      </w:numPr>
    </w:pPr>
  </w:style>
  <w:style w:type="numbering" w:customStyle="1" w:styleId="WW8Num29">
    <w:name w:val="WW8Num29"/>
    <w:basedOn w:val="a3"/>
    <w:pPr>
      <w:numPr>
        <w:numId w:val="29"/>
      </w:numPr>
    </w:pPr>
  </w:style>
  <w:style w:type="numbering" w:customStyle="1" w:styleId="WW8Num30">
    <w:name w:val="WW8Num30"/>
    <w:basedOn w:val="a3"/>
    <w:pPr>
      <w:numPr>
        <w:numId w:val="30"/>
      </w:numPr>
    </w:pPr>
  </w:style>
  <w:style w:type="numbering" w:customStyle="1" w:styleId="WW8Num31">
    <w:name w:val="WW8Num31"/>
    <w:basedOn w:val="a3"/>
    <w:pPr>
      <w:numPr>
        <w:numId w:val="31"/>
      </w:numPr>
    </w:pPr>
  </w:style>
  <w:style w:type="numbering" w:customStyle="1" w:styleId="WW8Num32">
    <w:name w:val="WW8Num32"/>
    <w:basedOn w:val="a3"/>
    <w:pPr>
      <w:numPr>
        <w:numId w:val="32"/>
      </w:numPr>
    </w:pPr>
  </w:style>
  <w:style w:type="numbering" w:customStyle="1" w:styleId="WW8Num33">
    <w:name w:val="WW8Num33"/>
    <w:basedOn w:val="a3"/>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1571</Words>
  <Characters>8956</Characters>
  <Application>Microsoft Office Word</Application>
  <DocSecurity>0</DocSecurity>
  <Lines>74</Lines>
  <Paragraphs>21</Paragraphs>
  <ScaleCrop>false</ScaleCrop>
  <Company/>
  <LinksUpToDate>false</LinksUpToDate>
  <CharactersWithSpaces>10506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建築工程規劃設計綁標行為態樣</dc:title>
  <dc:creator>建築組-水電課</dc:creator>
  <cp:lastModifiedBy>陳玉萍</cp:lastModifiedBy>
  <cp:revision>2</cp:revision>
  <cp:lastPrinted>2019-12-03T18:48:00Z</cp:lastPrinted>
  <dcterms:created xsi:type="dcterms:W3CDTF">2019-12-21T08:41:00Z</dcterms:created>
  <dcterms:modified xsi:type="dcterms:W3CDTF">2019-12-21T08:41:00Z</dcterms:modified>
</cp:coreProperties>
</file>